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2B" w:rsidRDefault="002047D4">
      <w:pPr>
        <w:pStyle w:val="Standard"/>
        <w:tabs>
          <w:tab w:val="left" w:pos="6240"/>
        </w:tabs>
        <w:spacing w:after="120" w:line="460" w:lineRule="exact"/>
        <w:rPr>
          <w:rFonts w:ascii="標楷體" w:eastAsia="標楷體" w:hAnsi="標楷體"/>
          <w:bCs/>
          <w:color w:val="000000"/>
          <w:sz w:val="36"/>
          <w:szCs w:val="28"/>
        </w:rPr>
      </w:pPr>
      <w:r>
        <w:rPr>
          <w:rFonts w:ascii="標楷體" w:eastAsia="標楷體" w:hAnsi="標楷體"/>
          <w:bCs/>
          <w:color w:val="000000"/>
          <w:sz w:val="36"/>
          <w:szCs w:val="28"/>
        </w:rPr>
        <w:t>第四點附件二修正規定</w:t>
      </w:r>
    </w:p>
    <w:p w:rsidR="008A632B" w:rsidRDefault="002047D4">
      <w:pPr>
        <w:pStyle w:val="Standard"/>
        <w:tabs>
          <w:tab w:val="left" w:pos="6240"/>
        </w:tabs>
        <w:rPr>
          <w:rFonts w:ascii="標楷體" w:eastAsia="標楷體" w:hAnsi="標楷體"/>
          <w:bCs/>
          <w:color w:val="000000"/>
          <w:szCs w:val="24"/>
        </w:rPr>
      </w:pPr>
      <w:r>
        <w:rPr>
          <w:rFonts w:ascii="標楷體" w:eastAsia="標楷體" w:hAnsi="標楷體"/>
          <w:bCs/>
          <w:color w:val="000000"/>
          <w:szCs w:val="24"/>
        </w:rPr>
        <w:t>附件二</w:t>
      </w:r>
    </w:p>
    <w:p w:rsidR="008A632B" w:rsidRDefault="002047D4">
      <w:pPr>
        <w:pStyle w:val="Standard"/>
        <w:tabs>
          <w:tab w:val="left" w:pos="6240"/>
        </w:tabs>
        <w:jc w:val="center"/>
      </w:pPr>
      <w:bookmarkStart w:id="0" w:name="_GoBack"/>
      <w:r>
        <w:rPr>
          <w:rFonts w:ascii="標楷體" w:eastAsia="標楷體" w:hAnsi="標楷體"/>
          <w:b/>
          <w:color w:val="000000"/>
          <w:sz w:val="36"/>
        </w:rPr>
        <w:t>教育部補（捐）助及委辦計畫經費編列基準表</w:t>
      </w:r>
    </w:p>
    <w:tbl>
      <w:tblPr>
        <w:tblW w:w="10204" w:type="dxa"/>
        <w:tblLayout w:type="fixed"/>
        <w:tblCellMar>
          <w:left w:w="10" w:type="dxa"/>
          <w:right w:w="10" w:type="dxa"/>
        </w:tblCellMar>
        <w:tblLook w:val="0000" w:firstRow="0" w:lastRow="0" w:firstColumn="0" w:lastColumn="0" w:noHBand="0" w:noVBand="0"/>
      </w:tblPr>
      <w:tblGrid>
        <w:gridCol w:w="1555"/>
        <w:gridCol w:w="1559"/>
        <w:gridCol w:w="3402"/>
        <w:gridCol w:w="3688"/>
      </w:tblGrid>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bookmarkEnd w:id="0"/>
          <w:p w:rsidR="008A632B" w:rsidRDefault="002047D4">
            <w:pPr>
              <w:pStyle w:val="Standard"/>
              <w:tabs>
                <w:tab w:val="left" w:pos="6240"/>
              </w:tabs>
              <w:jc w:val="center"/>
            </w:pPr>
            <w:r>
              <w:rPr>
                <w:rFonts w:ascii="標楷體" w:eastAsia="標楷體" w:hAnsi="標楷體"/>
                <w:color w:val="000000"/>
                <w:szCs w:val="24"/>
              </w:rPr>
              <w:t>一級用途別項目</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632B" w:rsidRDefault="002047D4">
            <w:pPr>
              <w:pStyle w:val="Standard"/>
              <w:tabs>
                <w:tab w:val="left" w:pos="6240"/>
              </w:tabs>
              <w:jc w:val="center"/>
            </w:pPr>
            <w:r>
              <w:rPr>
                <w:rFonts w:ascii="標楷體" w:eastAsia="標楷體" w:hAnsi="標楷體"/>
                <w:color w:val="000000"/>
                <w:szCs w:val="24"/>
              </w:rPr>
              <w:t>二級用途別項目</w:t>
            </w:r>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632B" w:rsidRDefault="002047D4">
            <w:pPr>
              <w:pStyle w:val="Standard"/>
              <w:tabs>
                <w:tab w:val="left" w:pos="6240"/>
              </w:tabs>
              <w:jc w:val="center"/>
            </w:pPr>
            <w:r>
              <w:rPr>
                <w:rFonts w:ascii="標楷體" w:eastAsia="標楷體" w:hAnsi="標楷體"/>
                <w:color w:val="000000"/>
                <w:szCs w:val="24"/>
              </w:rPr>
              <w:t>編列基準</w:t>
            </w:r>
          </w:p>
        </w:tc>
        <w:tc>
          <w:tcPr>
            <w:tcW w:w="3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632B" w:rsidRDefault="002047D4">
            <w:pPr>
              <w:pStyle w:val="Standard"/>
              <w:tabs>
                <w:tab w:val="left" w:pos="6240"/>
              </w:tabs>
              <w:jc w:val="center"/>
            </w:pPr>
            <w:r>
              <w:rPr>
                <w:rFonts w:ascii="標楷體" w:eastAsia="標楷體" w:hAnsi="標楷體"/>
                <w:color w:val="000000"/>
                <w:szCs w:val="24"/>
              </w:rPr>
              <w:t>支用說明</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960"/>
              </w:tabs>
              <w:jc w:val="both"/>
            </w:pPr>
            <w:r>
              <w:rPr>
                <w:rFonts w:eastAsia="標楷體"/>
              </w:rPr>
              <w:t>一、</w:t>
            </w:r>
            <w:r>
              <w:rPr>
                <w:rFonts w:ascii="標楷體" w:eastAsia="標楷體" w:hAnsi="標楷體"/>
                <w:color w:val="000000"/>
                <w:szCs w:val="24"/>
              </w:rPr>
              <w:t>人事費</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8A632B">
            <w:pPr>
              <w:pStyle w:val="Standard"/>
              <w:tabs>
                <w:tab w:val="left" w:pos="6240"/>
              </w:tabs>
              <w:rPr>
                <w:rFonts w:ascii="標楷體" w:eastAsia="標楷體" w:hAnsi="標楷體"/>
                <w:color w:val="000000"/>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8A632B">
            <w:pPr>
              <w:pStyle w:val="Standard"/>
              <w:tabs>
                <w:tab w:val="left" w:pos="6240"/>
              </w:tabs>
              <w:jc w:val="both"/>
              <w:rPr>
                <w:rFonts w:ascii="標楷體" w:eastAsia="標楷體" w:hAnsi="標楷體"/>
                <w:color w:val="000000"/>
                <w:szCs w:val="24"/>
              </w:rPr>
            </w:pPr>
          </w:p>
        </w:tc>
        <w:tc>
          <w:tcPr>
            <w:tcW w:w="368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3852"/>
              </w:tabs>
              <w:jc w:val="both"/>
            </w:pPr>
            <w:r>
              <w:rPr>
                <w:rFonts w:ascii="標楷體" w:eastAsia="標楷體" w:hAnsi="標楷體"/>
                <w:color w:val="000000"/>
                <w:szCs w:val="24"/>
              </w:rPr>
              <w:t>人事費應併入所得並請執行單位代扣繳稅款。</w:t>
            </w:r>
          </w:p>
          <w:p w:rsidR="008A632B" w:rsidRDefault="002047D4">
            <w:pPr>
              <w:pStyle w:val="Standard"/>
              <w:tabs>
                <w:tab w:val="left" w:pos="4333"/>
              </w:tabs>
              <w:ind w:left="481" w:hanging="481"/>
              <w:jc w:val="both"/>
            </w:pPr>
            <w:r>
              <w:rPr>
                <w:rFonts w:eastAsia="標楷體"/>
              </w:rPr>
              <w:t>一、</w:t>
            </w:r>
            <w:r>
              <w:rPr>
                <w:rFonts w:ascii="標楷體" w:eastAsia="標楷體" w:hAnsi="標楷體"/>
                <w:color w:val="000000"/>
                <w:szCs w:val="24"/>
              </w:rPr>
              <w:t>主持人資格規定：每一計畫主持人限一人，協同主持人限一至二人，須具博士或副教授以上資格或具相當經驗之專家，前述限制，倘因特殊需要，經本部同意者，不在此限。</w:t>
            </w:r>
          </w:p>
          <w:p w:rsidR="008A632B" w:rsidRDefault="002047D4">
            <w:pPr>
              <w:pStyle w:val="Standard"/>
              <w:tabs>
                <w:tab w:val="left" w:pos="4333"/>
              </w:tabs>
              <w:ind w:left="481" w:hanging="481"/>
              <w:jc w:val="both"/>
            </w:pPr>
            <w:r>
              <w:rPr>
                <w:rFonts w:eastAsia="標楷體"/>
              </w:rPr>
              <w:t>二、</w:t>
            </w:r>
            <w:r>
              <w:rPr>
                <w:rFonts w:ascii="標楷體" w:eastAsia="標楷體" w:hAnsi="標楷體"/>
                <w:color w:val="000000"/>
                <w:szCs w:val="24"/>
              </w:rPr>
              <w:t>各計畫人數以不超過四人為原則，但應業務需要，經本部同意，得酌予增列。</w:t>
            </w:r>
          </w:p>
          <w:p w:rsidR="008A632B" w:rsidRDefault="002047D4">
            <w:pPr>
              <w:pStyle w:val="Standard"/>
              <w:tabs>
                <w:tab w:val="left" w:pos="4333"/>
              </w:tabs>
              <w:ind w:left="481" w:hanging="481"/>
              <w:jc w:val="both"/>
            </w:pPr>
            <w:r>
              <w:rPr>
                <w:rFonts w:eastAsia="標楷體"/>
              </w:rPr>
              <w:t>三、</w:t>
            </w:r>
            <w:r>
              <w:rPr>
                <w:rFonts w:ascii="標楷體" w:eastAsia="標楷體" w:hAnsi="標楷體"/>
                <w:color w:val="000000"/>
                <w:szCs w:val="24"/>
              </w:rPr>
              <w:t>專兼任行政助理之聘用，應依各單位人員進用辦法進用與管理。</w:t>
            </w:r>
          </w:p>
          <w:p w:rsidR="008A632B" w:rsidRDefault="002047D4">
            <w:pPr>
              <w:pStyle w:val="Standard"/>
              <w:tabs>
                <w:tab w:val="left" w:pos="4333"/>
              </w:tabs>
              <w:ind w:left="481" w:hanging="481"/>
              <w:jc w:val="both"/>
            </w:pPr>
            <w:r>
              <w:rPr>
                <w:rFonts w:eastAsia="標楷體"/>
              </w:rPr>
              <w:t>四、</w:t>
            </w:r>
            <w:r>
              <w:rPr>
                <w:rFonts w:ascii="標楷體" w:eastAsia="標楷體" w:hAnsi="標楷體"/>
                <w:color w:val="000000"/>
                <w:szCs w:val="24"/>
              </w:rPr>
              <w:t>人事費所需費用含薪資、退休金、保險及其他依法應給予項目。</w:t>
            </w:r>
          </w:p>
          <w:p w:rsidR="008A632B" w:rsidRDefault="002047D4">
            <w:pPr>
              <w:pStyle w:val="Standard"/>
              <w:tabs>
                <w:tab w:val="left" w:pos="3852"/>
              </w:tabs>
              <w:jc w:val="both"/>
            </w:pPr>
            <w:r>
              <w:rPr>
                <w:rFonts w:ascii="標楷體" w:eastAsia="標楷體" w:hAnsi="標楷體"/>
                <w:color w:val="000000"/>
                <w:szCs w:val="24"/>
              </w:rPr>
              <w:t>五、支用限制：</w:t>
            </w:r>
          </w:p>
          <w:p w:rsidR="008A632B" w:rsidRDefault="002047D4">
            <w:pPr>
              <w:pStyle w:val="Standard"/>
              <w:tabs>
                <w:tab w:val="left" w:pos="6720"/>
              </w:tabs>
              <w:ind w:left="480" w:hanging="480"/>
              <w:jc w:val="both"/>
            </w:pPr>
            <w:r>
              <w:rPr>
                <w:rFonts w:ascii="標楷體" w:eastAsia="標楷體" w:hAnsi="標楷體"/>
                <w:color w:val="000000"/>
                <w:szCs w:val="24"/>
              </w:rPr>
              <w:t>(</w:t>
            </w:r>
            <w:r>
              <w:rPr>
                <w:rFonts w:ascii="標楷體" w:eastAsia="標楷體" w:hAnsi="標楷體"/>
                <w:color w:val="000000"/>
                <w:szCs w:val="24"/>
              </w:rPr>
              <w:t>一</w:t>
            </w:r>
            <w:r>
              <w:rPr>
                <w:rFonts w:ascii="標楷體" w:eastAsia="標楷體" w:hAnsi="標楷體"/>
                <w:color w:val="000000"/>
                <w:szCs w:val="24"/>
              </w:rPr>
              <w:t>)</w:t>
            </w:r>
            <w:r>
              <w:rPr>
                <w:rFonts w:ascii="標楷體" w:eastAsia="標楷體" w:hAnsi="標楷體"/>
                <w:color w:val="000000"/>
                <w:szCs w:val="24"/>
              </w:rPr>
              <w:t>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r>
              <w:rPr>
                <w:rFonts w:ascii="標楷體" w:eastAsia="標楷體" w:hAnsi="標楷體"/>
                <w:color w:val="000000"/>
                <w:szCs w:val="24"/>
              </w:rPr>
              <w:t>助案件除因特殊需要並經本部同意者外，以不補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r>
              <w:rPr>
                <w:rFonts w:ascii="標楷體" w:eastAsia="標楷體" w:hAnsi="標楷體"/>
                <w:color w:val="000000"/>
                <w:szCs w:val="24"/>
              </w:rPr>
              <w:t>助人事費為原則。</w:t>
            </w:r>
          </w:p>
          <w:p w:rsidR="008A632B" w:rsidRDefault="002047D4">
            <w:pPr>
              <w:pStyle w:val="Standard"/>
              <w:tabs>
                <w:tab w:val="left" w:pos="6720"/>
              </w:tabs>
              <w:ind w:left="480" w:hanging="480"/>
              <w:jc w:val="both"/>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rPr>
              <w:t>兼任計畫主持人或兼任協同計畫主持人除因執行跨校、跨領域及其他非屬本職職責之計畫，經本部同意者外，原則不予補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r>
              <w:rPr>
                <w:rFonts w:ascii="標楷體" w:eastAsia="標楷體" w:hAnsi="標楷體"/>
                <w:color w:val="000000"/>
                <w:szCs w:val="24"/>
              </w:rPr>
              <w:t>助相關主持人費。</w:t>
            </w:r>
          </w:p>
          <w:p w:rsidR="008A632B" w:rsidRDefault="002047D4">
            <w:pPr>
              <w:pStyle w:val="Standard"/>
              <w:tabs>
                <w:tab w:val="left" w:pos="6720"/>
              </w:tabs>
              <w:ind w:left="480" w:hanging="480"/>
              <w:jc w:val="both"/>
            </w:pPr>
            <w:r>
              <w:rPr>
                <w:rFonts w:ascii="標楷體" w:eastAsia="標楷體" w:hAnsi="標楷體"/>
                <w:color w:val="000000"/>
                <w:szCs w:val="24"/>
              </w:rPr>
              <w:t>(</w:t>
            </w:r>
            <w:r>
              <w:rPr>
                <w:rFonts w:ascii="標楷體" w:eastAsia="標楷體" w:hAnsi="標楷體"/>
                <w:color w:val="000000"/>
                <w:szCs w:val="24"/>
              </w:rPr>
              <w:t>三</w:t>
            </w:r>
            <w:r>
              <w:rPr>
                <w:rFonts w:ascii="標楷體" w:eastAsia="標楷體" w:hAnsi="標楷體"/>
                <w:color w:val="000000"/>
                <w:szCs w:val="24"/>
              </w:rPr>
              <w:t>)</w:t>
            </w:r>
            <w:r>
              <w:rPr>
                <w:rFonts w:ascii="標楷體" w:eastAsia="標楷體" w:hAnsi="標楷體"/>
                <w:color w:val="000000"/>
                <w:szCs w:val="24"/>
              </w:rPr>
              <w:t>本項經費除經本部同意者或依法令規定調增相關費用致不敷使用者外，不得流入；除情況特殊者，所需經費占總經費之比率以不超過</w:t>
            </w:r>
            <w:r>
              <w:rPr>
                <w:rFonts w:ascii="標楷體" w:eastAsia="標楷體" w:hAnsi="標楷體"/>
                <w:color w:val="000000"/>
                <w:szCs w:val="24"/>
              </w:rPr>
              <w:t>50</w:t>
            </w:r>
            <w:r>
              <w:rPr>
                <w:rFonts w:ascii="標楷體" w:eastAsia="標楷體" w:hAnsi="標楷體"/>
                <w:color w:val="000000"/>
                <w:szCs w:val="24"/>
              </w:rPr>
              <w:t>％為原則。</w:t>
            </w:r>
          </w:p>
          <w:p w:rsidR="008A632B" w:rsidRDefault="002047D4">
            <w:pPr>
              <w:pStyle w:val="Standard"/>
              <w:tabs>
                <w:tab w:val="left" w:pos="6720"/>
              </w:tabs>
              <w:ind w:left="480" w:hanging="480"/>
              <w:jc w:val="both"/>
            </w:pPr>
            <w:r>
              <w:rPr>
                <w:rFonts w:ascii="標楷體" w:eastAsia="標楷體" w:hAnsi="標楷體"/>
                <w:color w:val="000000"/>
                <w:szCs w:val="24"/>
              </w:rPr>
              <w:t>(</w:t>
            </w:r>
            <w:r>
              <w:rPr>
                <w:rFonts w:ascii="標楷體" w:eastAsia="標楷體" w:hAnsi="標楷體"/>
                <w:color w:val="000000"/>
                <w:szCs w:val="24"/>
              </w:rPr>
              <w:t>四</w:t>
            </w:r>
            <w:r>
              <w:rPr>
                <w:rFonts w:ascii="標楷體" w:eastAsia="標楷體" w:hAnsi="標楷體"/>
                <w:color w:val="000000"/>
                <w:szCs w:val="24"/>
              </w:rPr>
              <w:t>)</w:t>
            </w:r>
            <w:r>
              <w:rPr>
                <w:rFonts w:ascii="標楷體" w:eastAsia="標楷體" w:hAnsi="標楷體"/>
                <w:color w:val="000000"/>
                <w:szCs w:val="24"/>
              </w:rPr>
              <w:t>已按月支領固定津貼者，除實際擔任授課人員，得依規定支領講座鐘點費外，不得重複支領本計畫之其他酬勞。</w:t>
            </w:r>
          </w:p>
          <w:p w:rsidR="008A632B" w:rsidRDefault="002047D4">
            <w:pPr>
              <w:pStyle w:val="Standard"/>
              <w:tabs>
                <w:tab w:val="left" w:pos="6720"/>
              </w:tabs>
              <w:ind w:left="48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五</w:t>
            </w:r>
            <w:r>
              <w:rPr>
                <w:rFonts w:ascii="標楷體" w:eastAsia="標楷體" w:hAnsi="標楷體"/>
                <w:color w:val="000000"/>
                <w:szCs w:val="24"/>
              </w:rPr>
              <w:t>)</w:t>
            </w:r>
            <w:r>
              <w:rPr>
                <w:rFonts w:ascii="標楷體" w:eastAsia="標楷體" w:hAnsi="標楷體"/>
                <w:color w:val="000000"/>
                <w:szCs w:val="24"/>
              </w:rPr>
              <w:t>加班費：補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r>
              <w:rPr>
                <w:rFonts w:ascii="標楷體" w:eastAsia="標楷體" w:hAnsi="標楷體"/>
                <w:color w:val="000000"/>
                <w:szCs w:val="24"/>
              </w:rPr>
              <w:t>助計畫專任</w:t>
            </w:r>
            <w:r>
              <w:rPr>
                <w:rFonts w:ascii="標楷體" w:eastAsia="標楷體" w:hAnsi="標楷體"/>
                <w:color w:val="000000"/>
                <w:szCs w:val="24"/>
              </w:rPr>
              <w:lastRenderedPageBreak/>
              <w:t>助理如確有加班事實，加班費不得由補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r>
              <w:rPr>
                <w:rFonts w:ascii="標楷體" w:eastAsia="標楷體" w:hAnsi="標楷體"/>
                <w:color w:val="000000"/>
                <w:szCs w:val="24"/>
              </w:rPr>
              <w:t>助經費支給，惟仍應依勞動基準法規定辦理，並由執行單位年度經費核實支給加班費。委辦計畫係由委辦單位依計畫需求核實編列人力經費，爰請依契約及各執行單位規定辦理。</w:t>
            </w:r>
          </w:p>
          <w:p w:rsidR="008A632B" w:rsidRDefault="002047D4">
            <w:pPr>
              <w:pStyle w:val="Standard"/>
              <w:tabs>
                <w:tab w:val="left" w:pos="6720"/>
              </w:tabs>
              <w:ind w:left="480" w:hanging="480"/>
              <w:jc w:val="both"/>
            </w:pPr>
            <w:r>
              <w:rPr>
                <w:rFonts w:ascii="標楷體" w:eastAsia="標楷體" w:hAnsi="標楷體"/>
                <w:color w:val="000000"/>
                <w:szCs w:val="24"/>
              </w:rPr>
              <w:t>(</w:t>
            </w:r>
            <w:r>
              <w:rPr>
                <w:rFonts w:ascii="標楷體" w:eastAsia="標楷體" w:hAnsi="標楷體"/>
                <w:color w:val="000000"/>
                <w:szCs w:val="24"/>
              </w:rPr>
              <w:t>六</w:t>
            </w:r>
            <w:r>
              <w:rPr>
                <w:rFonts w:ascii="標楷體" w:eastAsia="標楷體" w:hAnsi="標楷體"/>
                <w:color w:val="000000"/>
                <w:szCs w:val="24"/>
              </w:rPr>
              <w:t>)</w:t>
            </w:r>
            <w:r>
              <w:rPr>
                <w:rFonts w:ascii="標楷體" w:eastAsia="標楷體" w:hAnsi="標楷體"/>
                <w:color w:val="000000"/>
                <w:szCs w:val="24"/>
              </w:rPr>
              <w:t>特別休假未休畢之工資費用：為維護勞工身心健康權益，執行計畫時應依勞動基準法第三十八條規定與計畫專任助理妥為協調安排並落實休假制度，不應於編列計畫預算時，即預設將發生特別休假未休畢之情形而編列是項工資。</w:t>
            </w:r>
          </w:p>
          <w:p w:rsidR="008A632B" w:rsidRDefault="002047D4">
            <w:pPr>
              <w:pStyle w:val="Standard"/>
              <w:tabs>
                <w:tab w:val="left" w:pos="6720"/>
              </w:tabs>
              <w:ind w:left="480" w:hanging="480"/>
              <w:jc w:val="both"/>
            </w:pPr>
            <w:r>
              <w:rPr>
                <w:rFonts w:ascii="標楷體" w:eastAsia="標楷體" w:hAnsi="標楷體"/>
                <w:color w:val="000000"/>
                <w:szCs w:val="24"/>
              </w:rPr>
              <w:t>(</w:t>
            </w:r>
            <w:r>
              <w:rPr>
                <w:rFonts w:ascii="標楷體" w:eastAsia="標楷體" w:hAnsi="標楷體"/>
                <w:color w:val="000000"/>
                <w:szCs w:val="24"/>
              </w:rPr>
              <w:t>七</w:t>
            </w:r>
            <w:r>
              <w:rPr>
                <w:rFonts w:ascii="標楷體" w:eastAsia="標楷體" w:hAnsi="標楷體"/>
                <w:color w:val="000000"/>
                <w:szCs w:val="24"/>
              </w:rPr>
              <w:t>)</w:t>
            </w:r>
            <w:r>
              <w:rPr>
                <w:rFonts w:ascii="標楷體" w:eastAsia="標楷體" w:hAnsi="標楷體"/>
                <w:color w:val="000000"/>
                <w:szCs w:val="24"/>
              </w:rPr>
              <w:t>研究生兼職應按各校訂定之兼職規定辦理。</w:t>
            </w:r>
          </w:p>
          <w:p w:rsidR="008A632B" w:rsidRDefault="002047D4">
            <w:pPr>
              <w:pStyle w:val="Standard"/>
              <w:tabs>
                <w:tab w:val="left" w:pos="6720"/>
              </w:tabs>
              <w:ind w:left="48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八</w:t>
            </w:r>
            <w:r>
              <w:rPr>
                <w:rFonts w:ascii="標楷體" w:eastAsia="標楷體" w:hAnsi="標楷體"/>
                <w:color w:val="000000"/>
                <w:szCs w:val="24"/>
              </w:rPr>
              <w:t>)</w:t>
            </w:r>
            <w:r>
              <w:rPr>
                <w:rFonts w:ascii="標楷體" w:eastAsia="標楷體" w:hAnsi="標楷體"/>
                <w:color w:val="000000"/>
                <w:szCs w:val="24"/>
              </w:rPr>
              <w:t>專任行政助理不得再兼任本部或其他機關計畫。但大專校院之專任行政助理除所擔任之計畫外，得再兼任本部或其他機關二項以內計畫之助理或臨時工，所支領兼任報酬以每月總額一萬元為限。</w:t>
            </w:r>
          </w:p>
          <w:p w:rsidR="008A632B" w:rsidRDefault="002047D4">
            <w:pPr>
              <w:pStyle w:val="Standard"/>
              <w:tabs>
                <w:tab w:val="left" w:pos="6720"/>
              </w:tabs>
              <w:ind w:left="480" w:hanging="480"/>
              <w:jc w:val="both"/>
            </w:pPr>
            <w:r>
              <w:rPr>
                <w:rFonts w:ascii="標楷體" w:eastAsia="標楷體" w:hAnsi="標楷體"/>
                <w:color w:val="000000"/>
                <w:szCs w:val="24"/>
              </w:rPr>
              <w:t>(</w:t>
            </w:r>
            <w:r>
              <w:rPr>
                <w:rFonts w:ascii="標楷體" w:eastAsia="標楷體" w:hAnsi="標楷體"/>
                <w:color w:val="000000"/>
                <w:szCs w:val="24"/>
              </w:rPr>
              <w:t>九</w:t>
            </w:r>
            <w:r>
              <w:rPr>
                <w:rFonts w:ascii="標楷體" w:eastAsia="標楷體" w:hAnsi="標楷體"/>
                <w:color w:val="000000"/>
                <w:szCs w:val="24"/>
              </w:rPr>
              <w:t>)</w:t>
            </w:r>
            <w:r>
              <w:rPr>
                <w:rFonts w:ascii="標楷體" w:eastAsia="標楷體" w:hAnsi="標楷體"/>
                <w:color w:val="000000"/>
                <w:szCs w:val="24"/>
              </w:rPr>
              <w:t>擔任本部不同計畫項下之專任助理，如同年十二月一日仍在職者，不論其在職月份是</w:t>
            </w:r>
            <w:r>
              <w:rPr>
                <w:rFonts w:ascii="標楷體" w:eastAsia="標楷體" w:hAnsi="標楷體"/>
                <w:color w:val="000000"/>
                <w:szCs w:val="24"/>
              </w:rPr>
              <w:t>否銜接，均可依實際在職月數合併計算後，按比率發給年終獎金</w:t>
            </w:r>
            <w:r>
              <w:rPr>
                <w:rFonts w:ascii="標楷體" w:eastAsia="標楷體" w:hAnsi="標楷體"/>
                <w:color w:val="000000"/>
                <w:szCs w:val="24"/>
              </w:rPr>
              <w:t>(</w:t>
            </w:r>
            <w:r>
              <w:rPr>
                <w:rFonts w:ascii="標楷體" w:eastAsia="標楷體" w:hAnsi="標楷體"/>
                <w:color w:val="000000"/>
                <w:szCs w:val="24"/>
              </w:rPr>
              <w:t>其任職前之政府機構相關工作經驗年資可合併計算發給年終工作獎金，惟須檢附相關文件</w:t>
            </w:r>
            <w:r>
              <w:rPr>
                <w:rFonts w:ascii="標楷體" w:eastAsia="標楷體" w:hAnsi="標楷體"/>
                <w:color w:val="000000"/>
                <w:szCs w:val="24"/>
              </w:rPr>
              <w:t>)</w:t>
            </w:r>
            <w:r>
              <w:rPr>
                <w:rFonts w:ascii="標楷體" w:eastAsia="標楷體" w:hAnsi="標楷體"/>
                <w:color w:val="000000"/>
                <w:szCs w:val="24"/>
              </w:rPr>
              <w:t>。</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8A632B">
            <w:pPr>
              <w:pStyle w:val="Standard"/>
              <w:tabs>
                <w:tab w:val="left" w:pos="6240"/>
              </w:tabs>
              <w:rPr>
                <w:rFonts w:ascii="標楷體" w:eastAsia="標楷體" w:hAnsi="標楷體"/>
                <w:color w:val="000000"/>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兼任計畫主持人</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每人月薪資</w:t>
            </w:r>
            <w:r>
              <w:rPr>
                <w:rFonts w:ascii="標楷體" w:eastAsia="標楷體" w:hAnsi="標楷體"/>
                <w:color w:val="000000"/>
                <w:szCs w:val="24"/>
              </w:rPr>
              <w:t>5,000</w:t>
            </w:r>
            <w:r>
              <w:rPr>
                <w:rFonts w:ascii="標楷體" w:eastAsia="標楷體" w:hAnsi="標楷體"/>
                <w:color w:val="000000"/>
                <w:szCs w:val="24"/>
              </w:rPr>
              <w:t>元至</w:t>
            </w:r>
            <w:r>
              <w:rPr>
                <w:rFonts w:ascii="標楷體" w:eastAsia="標楷體" w:hAnsi="標楷體"/>
                <w:color w:val="000000"/>
                <w:szCs w:val="24"/>
              </w:rPr>
              <w:t>8,000</w:t>
            </w:r>
            <w:r>
              <w:rPr>
                <w:rFonts w:ascii="標楷體" w:eastAsia="標楷體" w:hAnsi="標楷體"/>
                <w:color w:val="000000"/>
                <w:szCs w:val="24"/>
              </w:rPr>
              <w:t>元</w:t>
            </w:r>
          </w:p>
        </w:tc>
        <w:tc>
          <w:tcPr>
            <w:tcW w:w="368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000" w:rsidRDefault="002047D4"/>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8A632B">
            <w:pPr>
              <w:pStyle w:val="Standard"/>
              <w:tabs>
                <w:tab w:val="left" w:pos="6240"/>
              </w:tabs>
              <w:rPr>
                <w:rFonts w:ascii="標楷體" w:eastAsia="標楷體" w:hAnsi="標楷體"/>
                <w:color w:val="000000"/>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兼任協同計畫主持人</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每人月薪資</w:t>
            </w:r>
            <w:r>
              <w:rPr>
                <w:rFonts w:ascii="標楷體" w:eastAsia="標楷體" w:hAnsi="標楷體"/>
                <w:color w:val="000000"/>
                <w:szCs w:val="24"/>
              </w:rPr>
              <w:t>4,000</w:t>
            </w:r>
            <w:r>
              <w:rPr>
                <w:rFonts w:ascii="標楷體" w:eastAsia="標楷體" w:hAnsi="標楷體"/>
                <w:color w:val="000000"/>
                <w:szCs w:val="24"/>
              </w:rPr>
              <w:t>元至</w:t>
            </w:r>
            <w:r>
              <w:rPr>
                <w:rFonts w:ascii="標楷體" w:eastAsia="標楷體" w:hAnsi="標楷體"/>
                <w:color w:val="000000"/>
                <w:szCs w:val="24"/>
              </w:rPr>
              <w:t>6,000</w:t>
            </w:r>
            <w:r>
              <w:rPr>
                <w:rFonts w:ascii="標楷體" w:eastAsia="標楷體" w:hAnsi="標楷體"/>
                <w:color w:val="000000"/>
                <w:szCs w:val="24"/>
              </w:rPr>
              <w:t>元</w:t>
            </w:r>
          </w:p>
        </w:tc>
        <w:tc>
          <w:tcPr>
            <w:tcW w:w="368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000" w:rsidRDefault="002047D4"/>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8A632B">
            <w:pPr>
              <w:pStyle w:val="Standard"/>
              <w:tabs>
                <w:tab w:val="left" w:pos="6240"/>
              </w:tabs>
              <w:rPr>
                <w:rFonts w:ascii="標楷體" w:eastAsia="標楷體" w:hAnsi="標楷體"/>
                <w:color w:val="000000"/>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兼任行政助理</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每人月薪資</w:t>
            </w:r>
            <w:r>
              <w:rPr>
                <w:rFonts w:ascii="標楷體" w:eastAsia="標楷體" w:hAnsi="標楷體"/>
                <w:color w:val="000000"/>
                <w:szCs w:val="24"/>
              </w:rPr>
              <w:t>3,000</w:t>
            </w:r>
            <w:r>
              <w:rPr>
                <w:rFonts w:ascii="標楷體" w:eastAsia="標楷體" w:hAnsi="標楷體"/>
                <w:color w:val="000000"/>
                <w:szCs w:val="24"/>
              </w:rPr>
              <w:t>元至</w:t>
            </w:r>
            <w:r>
              <w:rPr>
                <w:rFonts w:ascii="標楷體" w:eastAsia="標楷體" w:hAnsi="標楷體"/>
                <w:color w:val="000000"/>
                <w:szCs w:val="24"/>
              </w:rPr>
              <w:t>5,000</w:t>
            </w:r>
            <w:r>
              <w:rPr>
                <w:rFonts w:ascii="標楷體" w:eastAsia="標楷體" w:hAnsi="標楷體"/>
                <w:color w:val="000000"/>
                <w:szCs w:val="24"/>
              </w:rPr>
              <w:t>元</w:t>
            </w:r>
          </w:p>
        </w:tc>
        <w:tc>
          <w:tcPr>
            <w:tcW w:w="368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000" w:rsidRDefault="002047D4"/>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8A632B">
            <w:pPr>
              <w:pStyle w:val="Standard"/>
              <w:tabs>
                <w:tab w:val="left" w:pos="6240"/>
              </w:tabs>
              <w:rPr>
                <w:rFonts w:ascii="標楷體" w:eastAsia="標楷體" w:hAnsi="標楷體"/>
                <w:color w:val="000000"/>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專任行政助理</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由執行單位考量工作內容、專業技能、獨立作業能力、相關經驗年資及預期績效表現等條件，自訂專任行政助理工作酬金標準核實支給。</w:t>
            </w:r>
            <w:r>
              <w:rPr>
                <w:rFonts w:ascii="標楷體" w:eastAsia="標楷體" w:hAnsi="標楷體"/>
                <w:color w:val="000000"/>
                <w:szCs w:val="24"/>
              </w:rPr>
              <w:t>12</w:t>
            </w:r>
            <w:r>
              <w:rPr>
                <w:rFonts w:ascii="標楷體" w:eastAsia="標楷體" w:hAnsi="標楷體"/>
                <w:color w:val="000000"/>
                <w:szCs w:val="24"/>
              </w:rPr>
              <w:t>月</w:t>
            </w:r>
            <w:r>
              <w:rPr>
                <w:rFonts w:ascii="標楷體" w:eastAsia="標楷體" w:hAnsi="標楷體"/>
                <w:color w:val="000000"/>
                <w:szCs w:val="24"/>
              </w:rPr>
              <w:t>1</w:t>
            </w:r>
            <w:r>
              <w:rPr>
                <w:rFonts w:ascii="標楷體" w:eastAsia="標楷體" w:hAnsi="標楷體"/>
                <w:color w:val="000000"/>
                <w:szCs w:val="24"/>
              </w:rPr>
              <w:t>日仍在職者，始得按當年工作月數依比率編列年終獎金。年終獎金</w:t>
            </w:r>
            <w:r>
              <w:rPr>
                <w:rFonts w:ascii="標楷體" w:eastAsia="標楷體" w:hAnsi="標楷體"/>
                <w:color w:val="000000"/>
                <w:szCs w:val="24"/>
              </w:rPr>
              <w:t>1</w:t>
            </w:r>
            <w:r>
              <w:rPr>
                <w:rFonts w:ascii="標楷體" w:eastAsia="標楷體" w:hAnsi="標楷體"/>
                <w:color w:val="000000"/>
                <w:szCs w:val="24"/>
              </w:rPr>
              <w:t>年以</w:t>
            </w:r>
            <w:r>
              <w:rPr>
                <w:rFonts w:ascii="標楷體" w:eastAsia="標楷體" w:hAnsi="標楷體"/>
                <w:color w:val="000000"/>
                <w:szCs w:val="24"/>
              </w:rPr>
              <w:t>1.5</w:t>
            </w:r>
            <w:r>
              <w:rPr>
                <w:rFonts w:ascii="標楷體" w:eastAsia="標楷體" w:hAnsi="標楷體"/>
                <w:color w:val="000000"/>
                <w:szCs w:val="24"/>
              </w:rPr>
              <w:t>個月為限。</w:t>
            </w:r>
          </w:p>
        </w:tc>
        <w:tc>
          <w:tcPr>
            <w:tcW w:w="368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000" w:rsidRDefault="002047D4"/>
        </w:tc>
      </w:tr>
      <w:tr w:rsidR="008A632B">
        <w:tblPrEx>
          <w:tblCellMar>
            <w:top w:w="0" w:type="dxa"/>
            <w:bottom w:w="0" w:type="dxa"/>
          </w:tblCellMar>
        </w:tblPrEx>
        <w:trPr>
          <w:trHeight w:val="956"/>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8A632B">
            <w:pPr>
              <w:pStyle w:val="Standard"/>
              <w:tabs>
                <w:tab w:val="left" w:pos="6240"/>
              </w:tabs>
              <w:rPr>
                <w:rFonts w:ascii="標楷體" w:eastAsia="標楷體" w:hAnsi="標楷體"/>
                <w:color w:val="000000"/>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8A632B">
            <w:pPr>
              <w:pStyle w:val="Standard"/>
              <w:tabs>
                <w:tab w:val="left" w:pos="6240"/>
              </w:tabs>
              <w:rPr>
                <w:rFonts w:ascii="標楷體" w:eastAsia="標楷體" w:hAnsi="標楷體"/>
                <w:color w:val="000000"/>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8A632B">
            <w:pPr>
              <w:pStyle w:val="Standard"/>
              <w:tabs>
                <w:tab w:val="left" w:pos="6240"/>
              </w:tabs>
              <w:rPr>
                <w:rFonts w:ascii="標楷體" w:eastAsia="標楷體" w:hAnsi="標楷體"/>
                <w:color w:val="000000"/>
                <w:szCs w:val="24"/>
              </w:rPr>
            </w:pPr>
          </w:p>
        </w:tc>
        <w:tc>
          <w:tcPr>
            <w:tcW w:w="368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0000" w:rsidRDefault="002047D4"/>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960"/>
              </w:tabs>
              <w:jc w:val="both"/>
            </w:pPr>
            <w:r>
              <w:rPr>
                <w:rFonts w:eastAsia="標楷體"/>
              </w:rPr>
              <w:lastRenderedPageBreak/>
              <w:t>二、</w:t>
            </w:r>
            <w:r>
              <w:rPr>
                <w:rFonts w:ascii="標楷體" w:eastAsia="標楷體" w:hAnsi="標楷體"/>
                <w:color w:val="000000"/>
                <w:szCs w:val="24"/>
              </w:rPr>
              <w:t>業務費</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8A632B">
            <w:pPr>
              <w:pStyle w:val="Standard"/>
              <w:tabs>
                <w:tab w:val="left" w:pos="6240"/>
              </w:tabs>
              <w:rPr>
                <w:rFonts w:ascii="標楷體" w:eastAsia="標楷體" w:hAnsi="標楷體"/>
                <w:color w:val="000000"/>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8A632B">
            <w:pPr>
              <w:pStyle w:val="Standard"/>
              <w:tabs>
                <w:tab w:val="left" w:pos="6240"/>
              </w:tabs>
              <w:rPr>
                <w:rFonts w:ascii="標楷體" w:eastAsia="標楷體" w:hAnsi="標楷體"/>
                <w:color w:val="000000"/>
                <w:szCs w:val="24"/>
              </w:rPr>
            </w:pP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8A632B">
            <w:pPr>
              <w:pStyle w:val="Standard"/>
              <w:tabs>
                <w:tab w:val="left" w:pos="6240"/>
              </w:tabs>
              <w:jc w:val="both"/>
              <w:rPr>
                <w:rFonts w:ascii="標楷體" w:eastAsia="標楷體" w:hAnsi="標楷體"/>
                <w:color w:val="000000"/>
                <w:szCs w:val="24"/>
              </w:rPr>
            </w:pP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ㄧ</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主持費、引言費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每人次</w:t>
            </w:r>
            <w:r>
              <w:rPr>
                <w:rFonts w:ascii="標楷體" w:eastAsia="標楷體" w:hAnsi="標楷體"/>
                <w:color w:val="000000"/>
                <w:szCs w:val="24"/>
              </w:rPr>
              <w:t>1,000</w:t>
            </w:r>
            <w:r>
              <w:rPr>
                <w:rFonts w:ascii="標楷體" w:eastAsia="標楷體" w:hAnsi="標楷體"/>
                <w:color w:val="000000"/>
                <w:szCs w:val="24"/>
              </w:rPr>
              <w:t>元至</w:t>
            </w:r>
            <w:r>
              <w:rPr>
                <w:rFonts w:ascii="標楷體" w:eastAsia="標楷體" w:hAnsi="標楷體"/>
                <w:color w:val="000000"/>
                <w:szCs w:val="24"/>
              </w:rPr>
              <w:t>2,500</w:t>
            </w:r>
            <w:r>
              <w:rPr>
                <w:rFonts w:ascii="標楷體" w:eastAsia="標楷體" w:hAnsi="標楷體"/>
                <w:color w:val="000000"/>
                <w:szCs w:val="24"/>
              </w:rPr>
              <w:t>元</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凡召開專題研討或與學術研究有關之主持費、引言費屬之。</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諮詢費、輔導費、指導費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每人次</w:t>
            </w:r>
            <w:r>
              <w:rPr>
                <w:rFonts w:ascii="標楷體" w:eastAsia="標楷體" w:hAnsi="標楷體"/>
                <w:color w:val="000000"/>
                <w:szCs w:val="24"/>
              </w:rPr>
              <w:t>1,000</w:t>
            </w:r>
            <w:r>
              <w:rPr>
                <w:rFonts w:ascii="標楷體" w:eastAsia="標楷體" w:hAnsi="標楷體"/>
                <w:color w:val="000000"/>
                <w:szCs w:val="24"/>
              </w:rPr>
              <w:t>元至</w:t>
            </w:r>
            <w:r>
              <w:rPr>
                <w:rFonts w:ascii="標楷體" w:eastAsia="標楷體" w:hAnsi="標楷體"/>
                <w:color w:val="000000"/>
                <w:szCs w:val="24"/>
              </w:rPr>
              <w:t>2,500</w:t>
            </w:r>
            <w:r>
              <w:rPr>
                <w:rFonts w:ascii="標楷體" w:eastAsia="標楷體" w:hAnsi="標楷體"/>
                <w:color w:val="000000"/>
                <w:szCs w:val="24"/>
              </w:rPr>
              <w:t>元</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得比照出席費編列。</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三</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訪視費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每人次</w:t>
            </w:r>
            <w:r>
              <w:rPr>
                <w:rFonts w:ascii="標楷體" w:eastAsia="標楷體" w:hAnsi="標楷體"/>
                <w:color w:val="000000"/>
                <w:szCs w:val="24"/>
              </w:rPr>
              <w:t>1,000</w:t>
            </w:r>
            <w:r>
              <w:rPr>
                <w:rFonts w:ascii="標楷體" w:eastAsia="標楷體" w:hAnsi="標楷體"/>
                <w:color w:val="000000"/>
                <w:szCs w:val="24"/>
              </w:rPr>
              <w:t>元至</w:t>
            </w:r>
            <w:r>
              <w:rPr>
                <w:rFonts w:ascii="標楷體" w:eastAsia="標楷體" w:hAnsi="標楷體"/>
                <w:color w:val="000000"/>
                <w:szCs w:val="24"/>
              </w:rPr>
              <w:t>4,000</w:t>
            </w:r>
            <w:r>
              <w:rPr>
                <w:rFonts w:ascii="標楷體" w:eastAsia="標楷體" w:hAnsi="標楷體"/>
                <w:color w:val="000000"/>
                <w:szCs w:val="24"/>
              </w:rPr>
              <w:t>元。</w:t>
            </w:r>
          </w:p>
          <w:p w:rsidR="008A632B" w:rsidRDefault="002047D4">
            <w:pPr>
              <w:pStyle w:val="Standard"/>
              <w:tabs>
                <w:tab w:val="left" w:pos="6240"/>
              </w:tabs>
              <w:jc w:val="both"/>
            </w:pPr>
            <w:r>
              <w:rPr>
                <w:rFonts w:ascii="標楷體" w:eastAsia="標楷體" w:hAnsi="標楷體"/>
                <w:color w:val="000000"/>
                <w:szCs w:val="24"/>
              </w:rPr>
              <w:t>半日以</w:t>
            </w:r>
            <w:r>
              <w:rPr>
                <w:rFonts w:ascii="標楷體" w:eastAsia="標楷體" w:hAnsi="標楷體"/>
                <w:color w:val="000000"/>
                <w:szCs w:val="24"/>
              </w:rPr>
              <w:t>2,500</w:t>
            </w:r>
            <w:r>
              <w:rPr>
                <w:rFonts w:ascii="標楷體" w:eastAsia="標楷體" w:hAnsi="標楷體"/>
                <w:color w:val="000000"/>
                <w:szCs w:val="24"/>
              </w:rPr>
              <w:t>元為編列上限。</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凡至各機關學校等瞭解現況，對未來發展方向提出建議，並作成訪視紀錄者屬之。</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right"/>
            </w:pPr>
            <w:r>
              <w:rPr>
                <w:rFonts w:ascii="標楷體" w:eastAsia="標楷體" w:hAnsi="標楷體"/>
                <w:color w:val="000000"/>
                <w:szCs w:val="24"/>
              </w:rPr>
              <w:lastRenderedPageBreak/>
              <w:t>(</w:t>
            </w:r>
            <w:r>
              <w:rPr>
                <w:rFonts w:ascii="標楷體" w:eastAsia="標楷體" w:hAnsi="標楷體"/>
                <w:color w:val="000000"/>
                <w:szCs w:val="24"/>
              </w:rPr>
              <w:t>四</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評鑑費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每人次</w:t>
            </w:r>
            <w:r>
              <w:rPr>
                <w:rFonts w:ascii="標楷體" w:eastAsia="標楷體" w:hAnsi="標楷體"/>
                <w:color w:val="000000"/>
                <w:szCs w:val="24"/>
              </w:rPr>
              <w:t>2,000</w:t>
            </w:r>
            <w:r>
              <w:rPr>
                <w:rFonts w:ascii="標楷體" w:eastAsia="標楷體" w:hAnsi="標楷體"/>
                <w:color w:val="000000"/>
                <w:szCs w:val="24"/>
              </w:rPr>
              <w:t>元至</w:t>
            </w:r>
            <w:r>
              <w:rPr>
                <w:rFonts w:ascii="標楷體" w:eastAsia="標楷體" w:hAnsi="標楷體"/>
                <w:color w:val="000000"/>
                <w:szCs w:val="24"/>
              </w:rPr>
              <w:t>6,000</w:t>
            </w:r>
            <w:r>
              <w:rPr>
                <w:rFonts w:ascii="標楷體" w:eastAsia="標楷體" w:hAnsi="標楷體"/>
                <w:color w:val="000000"/>
                <w:szCs w:val="24"/>
              </w:rPr>
              <w:t>元。</w:t>
            </w:r>
          </w:p>
          <w:p w:rsidR="008A632B" w:rsidRDefault="002047D4">
            <w:pPr>
              <w:pStyle w:val="Standard"/>
              <w:tabs>
                <w:tab w:val="left" w:pos="6240"/>
              </w:tabs>
              <w:jc w:val="both"/>
            </w:pPr>
            <w:r>
              <w:rPr>
                <w:rFonts w:ascii="標楷體" w:eastAsia="標楷體" w:hAnsi="標楷體"/>
                <w:color w:val="000000"/>
                <w:szCs w:val="24"/>
              </w:rPr>
              <w:t>半日以</w:t>
            </w:r>
            <w:r>
              <w:rPr>
                <w:rFonts w:ascii="標楷體" w:eastAsia="標楷體" w:hAnsi="標楷體"/>
                <w:color w:val="000000"/>
                <w:szCs w:val="24"/>
              </w:rPr>
              <w:t>4,000</w:t>
            </w:r>
            <w:r>
              <w:rPr>
                <w:rFonts w:ascii="標楷體" w:eastAsia="標楷體" w:hAnsi="標楷體"/>
                <w:color w:val="000000"/>
                <w:szCs w:val="24"/>
              </w:rPr>
              <w:t>元為編列上限。</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一、凡至各機關學校等評估計畫</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執行情形、目標達成效能之</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良窳，並作成評鑑記錄者屬</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之。</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二、如審查委員赴各機關學校等</w:t>
            </w:r>
            <w:r>
              <w:rPr>
                <w:rFonts w:ascii="標楷體" w:eastAsia="標楷體" w:hAnsi="標楷體"/>
                <w:color w:val="000000"/>
                <w:szCs w:val="24"/>
              </w:rPr>
              <w:t xml:space="preserve">  </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評鑑已支領評鑑費，不得再</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以審查各校書面資料為由</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重複支給書面審查費。</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五</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臨時工作人員</w:t>
            </w:r>
            <w:r>
              <w:rPr>
                <w:rFonts w:ascii="標楷體" w:eastAsia="標楷體" w:hAnsi="標楷體"/>
                <w:color w:val="000000"/>
                <w:szCs w:val="24"/>
              </w:rPr>
              <w:t>/</w:t>
            </w:r>
            <w:r>
              <w:rPr>
                <w:rFonts w:ascii="標楷體" w:eastAsia="標楷體" w:hAnsi="標楷體"/>
                <w:color w:val="000000"/>
                <w:szCs w:val="24"/>
              </w:rPr>
              <w:t>工讀費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 w:val="22"/>
              </w:rPr>
              <w:t>薪資</w:t>
            </w:r>
            <w:r>
              <w:rPr>
                <w:rFonts w:ascii="標楷體" w:eastAsia="標楷體" w:hAnsi="標楷體"/>
                <w:color w:val="000000"/>
              </w:rPr>
              <w:t>以現行勞動基準法所訂最低基本工資</w:t>
            </w:r>
            <w:r>
              <w:rPr>
                <w:rFonts w:ascii="標楷體" w:eastAsia="標楷體" w:hAnsi="標楷體"/>
                <w:color w:val="000000"/>
              </w:rPr>
              <w:t>1.2</w:t>
            </w:r>
            <w:r>
              <w:rPr>
                <w:rFonts w:ascii="標楷體" w:eastAsia="標楷體" w:hAnsi="標楷體"/>
                <w:color w:val="000000"/>
              </w:rPr>
              <w:t>倍為支給上限，然不得低於勞動基準法所訂之最低基本工資。但大專校院如訂有支給規定者，得依其規定支給。</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一、應依工作內容及性質核實編</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列。</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二、所列費用應含薪資、退休</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金、保險及其他依法應給予</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項目。</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六</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rPr>
              <w:t>印刷費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一、為撙節印刷費用支出，各種</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文件印刷，應以實用為主，</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力避豪華精美，並儘量先採</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光碟版或網路版方式辦理。</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二、印刷費須依政府採購法規定</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程序辦理招標或比議價，檢</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附承印廠商發票核實報支。</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七</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資料蒐集費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上限</w:t>
            </w:r>
            <w:r>
              <w:rPr>
                <w:rFonts w:ascii="標楷體" w:eastAsia="標楷體" w:hAnsi="標楷體"/>
                <w:color w:val="000000"/>
                <w:szCs w:val="24"/>
              </w:rPr>
              <w:t>30,000</w:t>
            </w:r>
            <w:r>
              <w:rPr>
                <w:rFonts w:ascii="標楷體" w:eastAsia="標楷體" w:hAnsi="標楷體"/>
                <w:color w:val="000000"/>
                <w:szCs w:val="24"/>
              </w:rPr>
              <w:t>元</w:t>
            </w:r>
            <w:r>
              <w:rPr>
                <w:rFonts w:ascii="標楷體" w:eastAsia="標楷體" w:hAnsi="標楷體"/>
                <w:color w:val="000000"/>
              </w:rPr>
              <w:t>。</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一、凡辦理計畫所須購置或影印</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必需之參考圖書資料等屬</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之。</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二、圖書之購置以具有專門性且</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與計畫直接有關者為限。</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三、擬購圖書應詳列其名稱、數</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量、單價及總價於計畫申請</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書中。</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四、檢附廠商發票核實報支。</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八</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資料檢索費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辦理計畫所需資料檢索費，其經費應依需求核實編列。</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right"/>
            </w:pPr>
            <w:r>
              <w:rPr>
                <w:rFonts w:ascii="標楷體" w:eastAsia="標楷體" w:hAnsi="標楷體"/>
                <w:color w:val="000000"/>
                <w:szCs w:val="24"/>
              </w:rPr>
              <w:t>(</w:t>
            </w:r>
            <w:r>
              <w:rPr>
                <w:rFonts w:ascii="標楷體" w:eastAsia="標楷體" w:hAnsi="標楷體"/>
                <w:color w:val="000000"/>
                <w:szCs w:val="24"/>
              </w:rPr>
              <w:t>九</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膳宿費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698"/>
              </w:tabs>
              <w:ind w:left="458" w:hanging="458"/>
              <w:jc w:val="both"/>
            </w:pPr>
            <w:r>
              <w:rPr>
                <w:rFonts w:ascii="標楷體" w:eastAsia="標楷體" w:hAnsi="標楷體"/>
                <w:color w:val="000000"/>
                <w:szCs w:val="24"/>
              </w:rPr>
              <w:t>一、依教育部及所屬機關</w:t>
            </w:r>
            <w:r>
              <w:rPr>
                <w:rFonts w:ascii="標楷體" w:eastAsia="標楷體" w:hAnsi="標楷體"/>
                <w:color w:val="000000"/>
                <w:szCs w:val="24"/>
              </w:rPr>
              <w:t>(</w:t>
            </w:r>
            <w:r>
              <w:rPr>
                <w:rFonts w:ascii="標楷體" w:eastAsia="標楷體" w:hAnsi="標楷體"/>
                <w:color w:val="000000"/>
                <w:szCs w:val="24"/>
              </w:rPr>
              <w:t>構</w:t>
            </w:r>
            <w:r>
              <w:rPr>
                <w:rFonts w:ascii="標楷體" w:eastAsia="標楷體" w:hAnsi="標楷體"/>
                <w:color w:val="000000"/>
                <w:szCs w:val="24"/>
              </w:rPr>
              <w:t>)</w:t>
            </w:r>
            <w:r>
              <w:rPr>
                <w:rFonts w:ascii="標楷體" w:eastAsia="標楷體" w:hAnsi="標楷體"/>
                <w:color w:val="000000"/>
                <w:szCs w:val="24"/>
              </w:rPr>
              <w:t>辦理各類會議講習訓練與研討（習）會管理要點規定。</w:t>
            </w:r>
          </w:p>
          <w:p w:rsidR="008A632B" w:rsidRDefault="002047D4">
            <w:pPr>
              <w:pStyle w:val="Standard"/>
              <w:tabs>
                <w:tab w:val="left" w:pos="6698"/>
              </w:tabs>
              <w:ind w:left="458" w:hanging="458"/>
              <w:jc w:val="both"/>
            </w:pPr>
            <w:r>
              <w:rPr>
                <w:rFonts w:ascii="標楷體" w:eastAsia="標楷體" w:hAnsi="標楷體"/>
                <w:color w:val="000000"/>
                <w:szCs w:val="24"/>
              </w:rPr>
              <w:t>二、辦理半日者，每人膳費上限</w:t>
            </w:r>
            <w:r>
              <w:rPr>
                <w:rFonts w:ascii="標楷體" w:eastAsia="標楷體" w:hAnsi="標楷體"/>
                <w:color w:val="000000"/>
                <w:szCs w:val="24"/>
              </w:rPr>
              <w:t>160</w:t>
            </w:r>
            <w:r>
              <w:rPr>
                <w:rFonts w:ascii="標楷體" w:eastAsia="標楷體" w:hAnsi="標楷體"/>
                <w:color w:val="000000"/>
                <w:szCs w:val="24"/>
              </w:rPr>
              <w:t>元。</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一、所需經費應依預定議程覈實</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編列。</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二、應本撙節原則辦理，並得視</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實際需要依各基準核算之總</w:t>
            </w:r>
          </w:p>
          <w:p w:rsidR="008A632B" w:rsidRDefault="002047D4">
            <w:pPr>
              <w:pStyle w:val="Standard"/>
              <w:tabs>
                <w:tab w:val="left" w:pos="1452"/>
              </w:tabs>
              <w:jc w:val="both"/>
            </w:pPr>
            <w:r>
              <w:rPr>
                <w:rFonts w:ascii="標楷體" w:eastAsia="標楷體" w:hAnsi="標楷體"/>
                <w:color w:val="000000"/>
                <w:szCs w:val="24"/>
              </w:rPr>
              <w:t xml:space="preserve">    </w:t>
            </w:r>
            <w:r>
              <w:rPr>
                <w:rFonts w:ascii="標楷體" w:eastAsia="標楷體" w:hAnsi="標楷體"/>
                <w:color w:val="000000"/>
                <w:szCs w:val="24"/>
              </w:rPr>
              <w:t>額範圍內互相調整支應。</w:t>
            </w:r>
          </w:p>
          <w:p w:rsidR="008A632B" w:rsidRDefault="002047D4">
            <w:pPr>
              <w:pStyle w:val="Standard"/>
              <w:tabs>
                <w:tab w:val="left" w:pos="1452"/>
              </w:tabs>
              <w:jc w:val="both"/>
            </w:pPr>
            <w:r>
              <w:rPr>
                <w:rFonts w:eastAsia="標楷體"/>
              </w:rPr>
              <w:t>三、</w:t>
            </w:r>
            <w:r>
              <w:rPr>
                <w:rFonts w:ascii="標楷體" w:eastAsia="標楷體" w:hAnsi="標楷體"/>
                <w:color w:val="000000"/>
                <w:szCs w:val="24"/>
              </w:rPr>
              <w:t>如於本項膳宿費以外再發給</w:t>
            </w:r>
          </w:p>
          <w:p w:rsidR="008A632B" w:rsidRDefault="002047D4">
            <w:pPr>
              <w:pStyle w:val="Standard"/>
              <w:tabs>
                <w:tab w:val="left" w:pos="1452"/>
              </w:tabs>
              <w:jc w:val="both"/>
            </w:pPr>
            <w:r>
              <w:t xml:space="preserve">      </w:t>
            </w:r>
            <w:r>
              <w:rPr>
                <w:rFonts w:ascii="標楷體" w:eastAsia="標楷體" w:hAnsi="標楷體"/>
                <w:color w:val="000000"/>
                <w:szCs w:val="24"/>
              </w:rPr>
              <w:t>外賓其他酬勞者，其支付費</w:t>
            </w:r>
          </w:p>
          <w:p w:rsidR="008A632B" w:rsidRDefault="002047D4">
            <w:pPr>
              <w:pStyle w:val="Standard"/>
              <w:tabs>
                <w:tab w:val="left" w:pos="1452"/>
              </w:tabs>
              <w:jc w:val="both"/>
            </w:pPr>
            <w:r>
              <w:t xml:space="preserve">      </w:t>
            </w:r>
            <w:r>
              <w:rPr>
                <w:rFonts w:ascii="標楷體" w:eastAsia="標楷體" w:hAnsi="標楷體"/>
                <w:color w:val="000000"/>
                <w:szCs w:val="24"/>
              </w:rPr>
              <w:t>用總額仍應不得超出行政院</w:t>
            </w:r>
          </w:p>
          <w:p w:rsidR="008A632B" w:rsidRDefault="002047D4">
            <w:pPr>
              <w:pStyle w:val="Standard"/>
              <w:tabs>
                <w:tab w:val="left" w:pos="1452"/>
              </w:tabs>
              <w:jc w:val="both"/>
            </w:pPr>
            <w:r>
              <w:t xml:space="preserve">     </w:t>
            </w:r>
            <w:r>
              <w:rPr>
                <w:rFonts w:ascii="標楷體" w:eastAsia="標楷體" w:hAnsi="標楷體"/>
                <w:color w:val="000000"/>
                <w:szCs w:val="24"/>
              </w:rPr>
              <w:t>所訂「各機關聘請國外顧問、</w:t>
            </w:r>
          </w:p>
          <w:p w:rsidR="008A632B" w:rsidRDefault="002047D4">
            <w:pPr>
              <w:pStyle w:val="Standard"/>
              <w:tabs>
                <w:tab w:val="left" w:pos="1452"/>
              </w:tabs>
              <w:jc w:val="both"/>
            </w:pPr>
            <w:r>
              <w:t xml:space="preserve">     </w:t>
            </w:r>
            <w:r>
              <w:rPr>
                <w:rFonts w:ascii="標楷體" w:eastAsia="標楷體" w:hAnsi="標楷體"/>
                <w:color w:val="000000"/>
                <w:szCs w:val="24"/>
              </w:rPr>
              <w:t>專家及學者來臺工作期間支付</w:t>
            </w:r>
          </w:p>
          <w:p w:rsidR="008A632B" w:rsidRDefault="002047D4">
            <w:pPr>
              <w:pStyle w:val="Standard"/>
              <w:tabs>
                <w:tab w:val="left" w:pos="1452"/>
              </w:tabs>
              <w:jc w:val="both"/>
            </w:pPr>
            <w:r>
              <w:t xml:space="preserve">     </w:t>
            </w:r>
            <w:r>
              <w:rPr>
                <w:rFonts w:ascii="標楷體" w:eastAsia="標楷體" w:hAnsi="標楷體"/>
                <w:color w:val="000000"/>
                <w:szCs w:val="24"/>
              </w:rPr>
              <w:t>費用最高標準表」規定。</w:t>
            </w:r>
          </w:p>
        </w:tc>
      </w:tr>
      <w:tr w:rsidR="008A632B">
        <w:tblPrEx>
          <w:tblCellMar>
            <w:top w:w="0" w:type="dxa"/>
            <w:bottom w:w="0" w:type="dxa"/>
          </w:tblCellMar>
        </w:tblPrEx>
        <w:trPr>
          <w:trHeight w:val="857"/>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right"/>
            </w:pPr>
            <w:r>
              <w:rPr>
                <w:rFonts w:ascii="標楷體" w:eastAsia="標楷體" w:hAnsi="標楷體"/>
                <w:color w:val="000000"/>
                <w:szCs w:val="24"/>
              </w:rPr>
              <w:t>（十）</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保險費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snapToGrid w:val="0"/>
              <w:jc w:val="both"/>
            </w:pPr>
            <w:r>
              <w:rPr>
                <w:rFonts w:ascii="標楷體" w:eastAsia="標楷體" w:hAnsi="標楷體"/>
                <w:color w:val="000000"/>
                <w:spacing w:val="-18"/>
                <w:szCs w:val="24"/>
              </w:rPr>
              <w:t>凡辦理各類會議、講習訓練與研討（習）會及其他活動所需之保險費屬之。</w:t>
            </w:r>
          </w:p>
        </w:tc>
      </w:tr>
      <w:tr w:rsidR="008A632B">
        <w:tblPrEx>
          <w:tblCellMar>
            <w:top w:w="0" w:type="dxa"/>
            <w:bottom w:w="0" w:type="dxa"/>
          </w:tblCellMar>
        </w:tblPrEx>
        <w:trPr>
          <w:trHeight w:val="1082"/>
        </w:trPr>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right"/>
            </w:pPr>
            <w:r>
              <w:rPr>
                <w:rFonts w:ascii="標楷體" w:eastAsia="標楷體" w:hAnsi="標楷體"/>
                <w:color w:val="000000"/>
                <w:szCs w:val="24"/>
              </w:rPr>
              <w:lastRenderedPageBreak/>
              <w:t>(</w:t>
            </w:r>
            <w:r>
              <w:rPr>
                <w:rFonts w:ascii="標楷體" w:eastAsia="標楷體" w:hAnsi="標楷體"/>
                <w:color w:val="000000"/>
                <w:szCs w:val="24"/>
              </w:rPr>
              <w:t>十一</w:t>
            </w:r>
            <w:r>
              <w:rPr>
                <w:rFonts w:ascii="標楷體" w:eastAsia="標楷體" w:hAnsi="標楷體"/>
                <w:color w:val="000000"/>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pacing w:val="-14"/>
                <w:szCs w:val="24"/>
              </w:rPr>
              <w:t>場地使用費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一、補助案件不補助內部場地使</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用費。</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二、凡辦理研討會、研習會所需</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租借場地使用費屬之。</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right"/>
            </w:pPr>
            <w:r>
              <w:rPr>
                <w:rFonts w:ascii="標楷體" w:eastAsia="標楷體" w:hAnsi="標楷體"/>
                <w:color w:val="000000"/>
                <w:sz w:val="22"/>
                <w:szCs w:val="22"/>
              </w:rPr>
              <w:t>(</w:t>
            </w:r>
            <w:r>
              <w:rPr>
                <w:rFonts w:ascii="標楷體" w:eastAsia="標楷體" w:hAnsi="標楷體"/>
                <w:color w:val="000000"/>
                <w:sz w:val="22"/>
                <w:szCs w:val="22"/>
              </w:rPr>
              <w:t>十二</w:t>
            </w:r>
            <w:r>
              <w:rPr>
                <w:rFonts w:ascii="標楷體" w:eastAsia="標楷體" w:hAnsi="標楷體"/>
                <w:color w:val="000000"/>
                <w:sz w:val="22"/>
                <w:szCs w:val="22"/>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設備使用費</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核實編列。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一、各執行單位因執行計畫，所</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分攤之電腦、儀器設備或軟</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體使用費用。</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二、如出具領據報支，應檢附計</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算標準、實際使用時數及耗</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材支用情形等支出數據資</w:t>
            </w:r>
          </w:p>
          <w:p w:rsidR="008A632B" w:rsidRDefault="002047D4">
            <w:pPr>
              <w:pStyle w:val="Standard"/>
              <w:tabs>
                <w:tab w:val="left" w:pos="1452"/>
              </w:tabs>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料。</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right"/>
            </w:pPr>
            <w:r>
              <w:rPr>
                <w:rFonts w:ascii="標楷體" w:eastAsia="標楷體" w:hAnsi="標楷體"/>
                <w:color w:val="000000"/>
                <w:sz w:val="22"/>
                <w:szCs w:val="22"/>
              </w:rPr>
              <w:t>(</w:t>
            </w:r>
            <w:r>
              <w:rPr>
                <w:rFonts w:ascii="標楷體" w:eastAsia="標楷體" w:hAnsi="標楷體"/>
                <w:color w:val="000000"/>
                <w:sz w:val="22"/>
                <w:szCs w:val="22"/>
              </w:rPr>
              <w:t>十</w:t>
            </w:r>
            <w:r>
              <w:rPr>
                <w:rFonts w:ascii="標楷體" w:eastAsia="標楷體" w:hAnsi="標楷體"/>
                <w:color w:val="000000"/>
                <w:sz w:val="22"/>
              </w:rPr>
              <w:t>三</w:t>
            </w:r>
            <w:r>
              <w:rPr>
                <w:rFonts w:ascii="標楷體" w:eastAsia="標楷體" w:hAnsi="標楷體"/>
                <w:color w:val="000000"/>
                <w:sz w:val="22"/>
                <w:szCs w:val="22"/>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雜支</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8A632B">
            <w:pPr>
              <w:pStyle w:val="Standard"/>
              <w:tabs>
                <w:tab w:val="left" w:pos="6240"/>
              </w:tabs>
              <w:jc w:val="both"/>
              <w:rPr>
                <w:rFonts w:ascii="標楷體" w:eastAsia="標楷體" w:hAnsi="標楷體"/>
                <w:color w:val="000000"/>
                <w:szCs w:val="24"/>
              </w:rPr>
            </w:pP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凡前項費用未列之辦公事務費用屬之。如文具用品、紙張、資訊耗材、資料夾、郵資等屬之。</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right"/>
            </w:pPr>
            <w:r>
              <w:rPr>
                <w:rFonts w:ascii="標楷體" w:eastAsia="標楷體" w:hAnsi="標楷體"/>
                <w:color w:val="000000"/>
                <w:sz w:val="22"/>
                <w:szCs w:val="22"/>
              </w:rPr>
              <w:t>(</w:t>
            </w:r>
            <w:r>
              <w:rPr>
                <w:rFonts w:ascii="標楷體" w:eastAsia="標楷體" w:hAnsi="標楷體"/>
                <w:color w:val="000000"/>
                <w:sz w:val="22"/>
                <w:szCs w:val="22"/>
              </w:rPr>
              <w:t>十</w:t>
            </w:r>
            <w:r>
              <w:rPr>
                <w:rFonts w:ascii="標楷體" w:eastAsia="標楷體" w:hAnsi="標楷體"/>
                <w:color w:val="000000"/>
                <w:sz w:val="22"/>
              </w:rPr>
              <w:t>四</w:t>
            </w:r>
            <w:r>
              <w:rPr>
                <w:rFonts w:ascii="標楷體" w:eastAsia="標楷體" w:hAnsi="標楷體"/>
                <w:color w:val="000000"/>
                <w:sz w:val="22"/>
                <w:szCs w:val="22"/>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其他</w:t>
            </w:r>
            <w:r>
              <w:rPr>
                <w:rFonts w:ascii="標楷體" w:eastAsia="標楷體" w:hAnsi="標楷體"/>
                <w:color w:val="000000"/>
                <w:szCs w:val="24"/>
              </w:rPr>
              <w:t>(</w:t>
            </w:r>
            <w:r>
              <w:rPr>
                <w:rFonts w:ascii="標楷體" w:eastAsia="標楷體" w:hAnsi="標楷體"/>
                <w:color w:val="000000"/>
                <w:szCs w:val="24"/>
              </w:rPr>
              <w:t>請註明項目名稱</w:t>
            </w:r>
            <w:r>
              <w:rPr>
                <w:rFonts w:ascii="標楷體" w:eastAsia="標楷體" w:hAnsi="標楷體"/>
                <w:color w:val="000000"/>
                <w:szCs w:val="24"/>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依行政院或計畫各項經費支用規定。</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依計畫各項支用用途說明。</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1440"/>
              </w:tabs>
              <w:jc w:val="both"/>
            </w:pPr>
            <w:r>
              <w:rPr>
                <w:rFonts w:eastAsia="標楷體"/>
              </w:rPr>
              <w:t>三、</w:t>
            </w:r>
            <w:r>
              <w:rPr>
                <w:rFonts w:ascii="標楷體" w:eastAsia="標楷體" w:hAnsi="標楷體"/>
                <w:color w:val="000000"/>
                <w:szCs w:val="24"/>
              </w:rPr>
              <w:t>行政管理費</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8A632B">
            <w:pPr>
              <w:pStyle w:val="Standard"/>
              <w:tabs>
                <w:tab w:val="left" w:pos="6720"/>
              </w:tabs>
              <w:ind w:left="480" w:hanging="480"/>
              <w:jc w:val="both"/>
              <w:rPr>
                <w:rFonts w:ascii="標楷體" w:eastAsia="標楷體" w:hAnsi="標楷體"/>
                <w:color w:val="000000"/>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720"/>
              </w:tabs>
              <w:ind w:left="480" w:hanging="480"/>
              <w:jc w:val="both"/>
              <w:rPr>
                <w:rFonts w:ascii="標楷體" w:eastAsia="標楷體" w:hAnsi="標楷體"/>
                <w:color w:val="000000"/>
                <w:szCs w:val="24"/>
              </w:rPr>
            </w:pPr>
            <w:r>
              <w:rPr>
                <w:rFonts w:ascii="標楷體" w:eastAsia="標楷體" w:hAnsi="標楷體"/>
                <w:color w:val="000000"/>
                <w:szCs w:val="24"/>
              </w:rPr>
              <w:t>一、補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r>
              <w:rPr>
                <w:rFonts w:ascii="標楷體" w:eastAsia="標楷體" w:hAnsi="標楷體"/>
                <w:color w:val="000000"/>
                <w:szCs w:val="24"/>
              </w:rPr>
              <w:t>助計畫：配合本部政策需要者，得按業務費</w:t>
            </w:r>
            <w:r>
              <w:rPr>
                <w:rFonts w:ascii="標楷體" w:eastAsia="標楷體" w:hAnsi="標楷體"/>
                <w:color w:val="000000"/>
                <w:szCs w:val="24"/>
              </w:rPr>
              <w:t>*15%</w:t>
            </w:r>
            <w:r>
              <w:rPr>
                <w:rFonts w:ascii="標楷體" w:eastAsia="標楷體" w:hAnsi="標楷體"/>
                <w:color w:val="000000"/>
                <w:szCs w:val="24"/>
              </w:rPr>
              <w:t>以內編列。</w:t>
            </w:r>
          </w:p>
          <w:p w:rsidR="008A632B" w:rsidRDefault="002047D4">
            <w:pPr>
              <w:pStyle w:val="Standard"/>
              <w:tabs>
                <w:tab w:val="left" w:pos="6720"/>
              </w:tabs>
              <w:ind w:left="480" w:hanging="480"/>
              <w:jc w:val="both"/>
              <w:rPr>
                <w:rFonts w:ascii="標楷體" w:eastAsia="標楷體" w:hAnsi="標楷體"/>
                <w:color w:val="000000"/>
                <w:szCs w:val="24"/>
              </w:rPr>
            </w:pPr>
            <w:r>
              <w:rPr>
                <w:rFonts w:ascii="標楷體" w:eastAsia="標楷體" w:hAnsi="標楷體"/>
                <w:color w:val="000000"/>
                <w:szCs w:val="24"/>
              </w:rPr>
              <w:t>二、委辦計畫：依業務費之金額級距，分段乘算下列比率後加總：</w:t>
            </w:r>
          </w:p>
          <w:p w:rsidR="008A632B" w:rsidRDefault="002047D4">
            <w:pPr>
              <w:pStyle w:val="Standard"/>
              <w:tabs>
                <w:tab w:val="left" w:pos="6720"/>
              </w:tabs>
              <w:ind w:left="48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一</w:t>
            </w:r>
            <w:r>
              <w:rPr>
                <w:rFonts w:ascii="標楷體" w:eastAsia="標楷體" w:hAnsi="標楷體"/>
                <w:color w:val="000000"/>
                <w:szCs w:val="24"/>
              </w:rPr>
              <w:t>)</w:t>
            </w:r>
            <w:r>
              <w:rPr>
                <w:rFonts w:ascii="標楷體" w:eastAsia="標楷體" w:hAnsi="標楷體"/>
                <w:color w:val="000000"/>
                <w:szCs w:val="24"/>
              </w:rPr>
              <w:t>業務費</w:t>
            </w:r>
            <w:r>
              <w:rPr>
                <w:rFonts w:ascii="標楷體" w:eastAsia="標楷體" w:hAnsi="標楷體"/>
                <w:color w:val="000000"/>
                <w:szCs w:val="24"/>
              </w:rPr>
              <w:t>300</w:t>
            </w:r>
            <w:r>
              <w:rPr>
                <w:rFonts w:ascii="標楷體" w:eastAsia="標楷體" w:hAnsi="標楷體"/>
                <w:color w:val="000000"/>
                <w:szCs w:val="24"/>
              </w:rPr>
              <w:t>萬元</w:t>
            </w:r>
            <w:r>
              <w:rPr>
                <w:rFonts w:ascii="標楷體" w:eastAsia="標楷體" w:hAnsi="標楷體"/>
                <w:color w:val="000000"/>
                <w:szCs w:val="24"/>
              </w:rPr>
              <w:t>(</w:t>
            </w:r>
            <w:r>
              <w:rPr>
                <w:rFonts w:ascii="標楷體" w:eastAsia="標楷體" w:hAnsi="標楷體"/>
                <w:color w:val="000000"/>
                <w:szCs w:val="24"/>
              </w:rPr>
              <w:t>含</w:t>
            </w:r>
            <w:r>
              <w:rPr>
                <w:rFonts w:ascii="標楷體" w:eastAsia="標楷體" w:hAnsi="標楷體"/>
                <w:color w:val="000000"/>
                <w:szCs w:val="24"/>
              </w:rPr>
              <w:t>)</w:t>
            </w:r>
            <w:r>
              <w:rPr>
                <w:rFonts w:ascii="標楷體" w:eastAsia="標楷體" w:hAnsi="標楷體"/>
                <w:color w:val="000000"/>
                <w:szCs w:val="24"/>
              </w:rPr>
              <w:t>以下者，得按業務費</w:t>
            </w:r>
            <w:r>
              <w:rPr>
                <w:rFonts w:ascii="標楷體" w:eastAsia="標楷體" w:hAnsi="標楷體"/>
                <w:color w:val="000000"/>
                <w:szCs w:val="24"/>
              </w:rPr>
              <w:t>*10%</w:t>
            </w:r>
            <w:r>
              <w:rPr>
                <w:rFonts w:ascii="標楷體" w:eastAsia="標楷體" w:hAnsi="標楷體"/>
                <w:color w:val="000000"/>
                <w:szCs w:val="24"/>
              </w:rPr>
              <w:t>以內編列。</w:t>
            </w:r>
          </w:p>
          <w:p w:rsidR="008A632B" w:rsidRDefault="002047D4">
            <w:pPr>
              <w:pStyle w:val="Standard"/>
              <w:tabs>
                <w:tab w:val="left" w:pos="6720"/>
              </w:tabs>
              <w:ind w:left="480" w:hanging="48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rPr>
              <w:t>業務費超過</w:t>
            </w:r>
            <w:r>
              <w:rPr>
                <w:rFonts w:ascii="標楷體" w:eastAsia="標楷體" w:hAnsi="標楷體"/>
                <w:color w:val="000000"/>
                <w:szCs w:val="24"/>
              </w:rPr>
              <w:t>300</w:t>
            </w:r>
            <w:r>
              <w:rPr>
                <w:rFonts w:ascii="標楷體" w:eastAsia="標楷體" w:hAnsi="標楷體"/>
                <w:color w:val="000000"/>
                <w:szCs w:val="24"/>
              </w:rPr>
              <w:t>萬元以上部分，得按超過部分</w:t>
            </w:r>
            <w:r>
              <w:rPr>
                <w:rFonts w:ascii="標楷體" w:eastAsia="標楷體" w:hAnsi="標楷體"/>
                <w:color w:val="000000"/>
                <w:szCs w:val="24"/>
              </w:rPr>
              <w:t>*5%</w:t>
            </w:r>
            <w:r>
              <w:rPr>
                <w:rFonts w:ascii="標楷體" w:eastAsia="標楷體" w:hAnsi="標楷體"/>
                <w:color w:val="000000"/>
                <w:szCs w:val="24"/>
              </w:rPr>
              <w:t>以內編列。</w:t>
            </w:r>
          </w:p>
          <w:p w:rsidR="008A632B" w:rsidRDefault="002047D4">
            <w:pPr>
              <w:pStyle w:val="Standard"/>
              <w:tabs>
                <w:tab w:val="left" w:pos="6720"/>
              </w:tabs>
              <w:ind w:left="480" w:hanging="480"/>
              <w:jc w:val="both"/>
            </w:pPr>
            <w:r>
              <w:rPr>
                <w:rFonts w:ascii="標楷體" w:eastAsia="標楷體" w:hAnsi="標楷體"/>
                <w:color w:val="000000"/>
                <w:szCs w:val="24"/>
              </w:rPr>
              <w:t>三、有關行政管理費已涵蓋之經費項目，除特別需求外，不得重複編列。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1452"/>
              </w:tabs>
              <w:jc w:val="both"/>
            </w:pPr>
            <w:r>
              <w:rPr>
                <w:rFonts w:ascii="標楷體" w:eastAsia="標楷體" w:hAnsi="標楷體"/>
              </w:rPr>
              <w:t>一、</w:t>
            </w:r>
            <w:r>
              <w:rPr>
                <w:rFonts w:ascii="標楷體" w:eastAsia="標楷體" w:hAnsi="標楷體"/>
                <w:color w:val="000000"/>
                <w:szCs w:val="24"/>
              </w:rPr>
              <w:t>執行單位因辦理計畫所支付</w:t>
            </w:r>
          </w:p>
          <w:p w:rsidR="008A632B" w:rsidRDefault="002047D4">
            <w:pPr>
              <w:pStyle w:val="Standard"/>
              <w:tabs>
                <w:tab w:val="left" w:pos="1452"/>
              </w:tabs>
              <w:jc w:val="both"/>
            </w:pPr>
            <w:r>
              <w:rPr>
                <w:rFonts w:ascii="標楷體" w:eastAsia="標楷體" w:hAnsi="標楷體"/>
              </w:rPr>
              <w:t xml:space="preserve">    </w:t>
            </w:r>
            <w:r>
              <w:rPr>
                <w:rFonts w:ascii="標楷體" w:eastAsia="標楷體" w:hAnsi="標楷體"/>
                <w:color w:val="000000"/>
                <w:szCs w:val="24"/>
              </w:rPr>
              <w:t>不屬前述費用之水電費、電</w:t>
            </w:r>
          </w:p>
          <w:p w:rsidR="008A632B" w:rsidRDefault="002047D4">
            <w:pPr>
              <w:pStyle w:val="Standard"/>
              <w:tabs>
                <w:tab w:val="left" w:pos="1452"/>
              </w:tabs>
              <w:jc w:val="both"/>
            </w:pPr>
            <w:r>
              <w:rPr>
                <w:rFonts w:ascii="標楷體" w:eastAsia="標楷體" w:hAnsi="標楷體"/>
              </w:rPr>
              <w:t xml:space="preserve">    </w:t>
            </w:r>
            <w:r>
              <w:rPr>
                <w:rFonts w:ascii="標楷體" w:eastAsia="標楷體" w:hAnsi="標楷體"/>
                <w:color w:val="000000"/>
                <w:szCs w:val="24"/>
              </w:rPr>
              <w:t>話費、燃料費及設備維護費</w:t>
            </w:r>
          </w:p>
          <w:p w:rsidR="008A632B" w:rsidRDefault="002047D4">
            <w:pPr>
              <w:pStyle w:val="Standard"/>
              <w:tabs>
                <w:tab w:val="left" w:pos="1452"/>
              </w:tabs>
              <w:jc w:val="both"/>
            </w:pPr>
            <w:r>
              <w:rPr>
                <w:rFonts w:ascii="標楷體" w:eastAsia="標楷體" w:hAnsi="標楷體"/>
              </w:rPr>
              <w:t xml:space="preserve">    </w:t>
            </w:r>
            <w:r>
              <w:rPr>
                <w:rFonts w:ascii="標楷體" w:eastAsia="標楷體" w:hAnsi="標楷體"/>
                <w:color w:val="000000"/>
                <w:szCs w:val="24"/>
              </w:rPr>
              <w:t>等屬之。</w:t>
            </w:r>
          </w:p>
          <w:p w:rsidR="008A632B" w:rsidRDefault="002047D4">
            <w:pPr>
              <w:pStyle w:val="Standard"/>
              <w:tabs>
                <w:tab w:val="left" w:pos="1452"/>
              </w:tabs>
              <w:jc w:val="both"/>
            </w:pPr>
            <w:r>
              <w:rPr>
                <w:rFonts w:ascii="標楷體" w:eastAsia="標楷體" w:hAnsi="標楷體"/>
              </w:rPr>
              <w:t>二、</w:t>
            </w:r>
            <w:r>
              <w:rPr>
                <w:rFonts w:ascii="標楷體" w:eastAsia="標楷體" w:hAnsi="標楷體"/>
                <w:color w:val="000000"/>
                <w:szCs w:val="24"/>
              </w:rPr>
              <w:t>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r>
              <w:rPr>
                <w:rFonts w:ascii="標楷體" w:eastAsia="標楷體" w:hAnsi="標楷體"/>
                <w:color w:val="000000"/>
                <w:szCs w:val="24"/>
              </w:rPr>
              <w:t>助案件不補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r>
              <w:rPr>
                <w:rFonts w:ascii="標楷體" w:eastAsia="標楷體" w:hAnsi="標楷體"/>
                <w:color w:val="000000"/>
                <w:szCs w:val="24"/>
              </w:rPr>
              <w:t>助本</w:t>
            </w:r>
          </w:p>
          <w:p w:rsidR="008A632B" w:rsidRDefault="002047D4">
            <w:pPr>
              <w:pStyle w:val="Standard"/>
              <w:tabs>
                <w:tab w:val="left" w:pos="1452"/>
              </w:tabs>
              <w:jc w:val="both"/>
            </w:pPr>
            <w:r>
              <w:rPr>
                <w:rFonts w:ascii="標楷體" w:eastAsia="標楷體" w:hAnsi="標楷體"/>
              </w:rPr>
              <w:t xml:space="preserve">    </w:t>
            </w:r>
            <w:r>
              <w:rPr>
                <w:rFonts w:ascii="標楷體" w:eastAsia="標楷體" w:hAnsi="標楷體"/>
                <w:color w:val="000000"/>
                <w:szCs w:val="24"/>
              </w:rPr>
              <w:t>項經費，但因配合本部政策</w:t>
            </w:r>
          </w:p>
          <w:p w:rsidR="008A632B" w:rsidRDefault="002047D4">
            <w:pPr>
              <w:pStyle w:val="Standard"/>
              <w:tabs>
                <w:tab w:val="left" w:pos="1452"/>
              </w:tabs>
              <w:jc w:val="both"/>
            </w:pPr>
            <w:r>
              <w:rPr>
                <w:rFonts w:ascii="標楷體" w:eastAsia="標楷體" w:hAnsi="標楷體"/>
              </w:rPr>
              <w:t xml:space="preserve">    </w:t>
            </w:r>
            <w:r>
              <w:rPr>
                <w:rFonts w:ascii="標楷體" w:eastAsia="標楷體" w:hAnsi="標楷體"/>
                <w:color w:val="000000"/>
                <w:szCs w:val="24"/>
              </w:rPr>
              <w:t>者，不在此限。</w:t>
            </w:r>
          </w:p>
          <w:p w:rsidR="008A632B" w:rsidRDefault="002047D4">
            <w:pPr>
              <w:pStyle w:val="Standard"/>
              <w:tabs>
                <w:tab w:val="left" w:pos="1452"/>
              </w:tabs>
              <w:jc w:val="both"/>
            </w:pPr>
            <w:r>
              <w:rPr>
                <w:rFonts w:ascii="標楷體" w:eastAsia="標楷體" w:hAnsi="標楷體"/>
              </w:rPr>
              <w:t>三、</w:t>
            </w:r>
            <w:r>
              <w:rPr>
                <w:rFonts w:ascii="標楷體" w:eastAsia="標楷體" w:hAnsi="標楷體"/>
                <w:color w:val="000000"/>
                <w:szCs w:val="24"/>
              </w:rPr>
              <w:t>本項經費除經本部同意者</w:t>
            </w:r>
          </w:p>
          <w:p w:rsidR="008A632B" w:rsidRDefault="002047D4">
            <w:pPr>
              <w:pStyle w:val="Standard"/>
              <w:tabs>
                <w:tab w:val="left" w:pos="1452"/>
              </w:tabs>
              <w:jc w:val="both"/>
            </w:pPr>
            <w:r>
              <w:rPr>
                <w:rFonts w:ascii="標楷體" w:eastAsia="標楷體" w:hAnsi="標楷體"/>
              </w:rPr>
              <w:t xml:space="preserve">    </w:t>
            </w:r>
            <w:r>
              <w:rPr>
                <w:rFonts w:ascii="標楷體" w:eastAsia="標楷體" w:hAnsi="標楷體"/>
                <w:color w:val="000000"/>
                <w:szCs w:val="24"/>
              </w:rPr>
              <w:t>外，不得流入。</w:t>
            </w:r>
          </w:p>
          <w:p w:rsidR="008A632B" w:rsidRDefault="002047D4">
            <w:pPr>
              <w:pStyle w:val="Standard"/>
              <w:tabs>
                <w:tab w:val="left" w:pos="1452"/>
              </w:tabs>
              <w:jc w:val="both"/>
            </w:pPr>
            <w:r>
              <w:rPr>
                <w:rFonts w:ascii="標楷體" w:eastAsia="標楷體" w:hAnsi="標楷體"/>
              </w:rPr>
              <w:t>四、</w:t>
            </w:r>
            <w:r>
              <w:rPr>
                <w:rFonts w:ascii="標楷體" w:eastAsia="標楷體" w:hAnsi="標楷體"/>
                <w:color w:val="000000"/>
                <w:szCs w:val="24"/>
              </w:rPr>
              <w:t>依本部</w:t>
            </w:r>
            <w:r>
              <w:rPr>
                <w:rFonts w:ascii="標楷體" w:eastAsia="標楷體" w:hAnsi="標楷體"/>
                <w:color w:val="000000"/>
                <w:szCs w:val="24"/>
              </w:rPr>
              <w:t>83</w:t>
            </w:r>
            <w:r>
              <w:rPr>
                <w:rFonts w:ascii="標楷體" w:eastAsia="標楷體" w:hAnsi="標楷體"/>
                <w:color w:val="000000"/>
                <w:szCs w:val="24"/>
              </w:rPr>
              <w:t>年</w:t>
            </w:r>
            <w:r>
              <w:rPr>
                <w:rFonts w:ascii="標楷體" w:eastAsia="標楷體" w:hAnsi="標楷體"/>
                <w:color w:val="000000"/>
                <w:szCs w:val="24"/>
              </w:rPr>
              <w:t>12</w:t>
            </w:r>
            <w:r>
              <w:rPr>
                <w:rFonts w:ascii="標楷體" w:eastAsia="標楷體" w:hAnsi="標楷體"/>
                <w:color w:val="000000"/>
                <w:szCs w:val="24"/>
              </w:rPr>
              <w:t>月</w:t>
            </w:r>
            <w:r>
              <w:rPr>
                <w:rFonts w:ascii="標楷體" w:eastAsia="標楷體" w:hAnsi="標楷體"/>
                <w:color w:val="000000"/>
                <w:szCs w:val="24"/>
              </w:rPr>
              <w:t>8</w:t>
            </w:r>
            <w:r>
              <w:rPr>
                <w:rFonts w:ascii="標楷體" w:eastAsia="標楷體" w:hAnsi="標楷體"/>
                <w:color w:val="000000"/>
                <w:szCs w:val="24"/>
              </w:rPr>
              <w:t>日台</w:t>
            </w:r>
            <w:r>
              <w:rPr>
                <w:rFonts w:ascii="標楷體" w:eastAsia="標楷體" w:hAnsi="標楷體"/>
                <w:color w:val="000000"/>
                <w:szCs w:val="24"/>
              </w:rPr>
              <w:t>83</w:t>
            </w:r>
          </w:p>
          <w:p w:rsidR="008A632B" w:rsidRDefault="002047D4">
            <w:pPr>
              <w:pStyle w:val="Standard"/>
              <w:tabs>
                <w:tab w:val="left" w:pos="1452"/>
              </w:tabs>
              <w:jc w:val="both"/>
            </w:pPr>
            <w:r>
              <w:rPr>
                <w:rFonts w:ascii="標楷體" w:eastAsia="標楷體" w:hAnsi="標楷體"/>
              </w:rPr>
              <w:t xml:space="preserve">    </w:t>
            </w:r>
            <w:r>
              <w:rPr>
                <w:rFonts w:ascii="標楷體" w:eastAsia="標楷體" w:hAnsi="標楷體"/>
                <w:color w:val="000000"/>
                <w:szCs w:val="24"/>
              </w:rPr>
              <w:t>會</w:t>
            </w:r>
            <w:r>
              <w:rPr>
                <w:rFonts w:ascii="標楷體" w:eastAsia="標楷體" w:hAnsi="標楷體"/>
                <w:color w:val="000000"/>
                <w:szCs w:val="24"/>
              </w:rPr>
              <w:t>066545</w:t>
            </w:r>
            <w:r>
              <w:rPr>
                <w:rFonts w:ascii="標楷體" w:eastAsia="標楷體" w:hAnsi="標楷體"/>
                <w:color w:val="000000"/>
                <w:szCs w:val="24"/>
              </w:rPr>
              <w:t>號函，行政管理費</w:t>
            </w:r>
          </w:p>
          <w:p w:rsidR="008A632B" w:rsidRDefault="002047D4">
            <w:pPr>
              <w:pStyle w:val="Standard"/>
              <w:tabs>
                <w:tab w:val="left" w:pos="1452"/>
              </w:tabs>
              <w:jc w:val="both"/>
            </w:pPr>
            <w:r>
              <w:rPr>
                <w:rFonts w:ascii="標楷體" w:eastAsia="標楷體" w:hAnsi="標楷體"/>
              </w:rPr>
              <w:t xml:space="preserve">    </w:t>
            </w:r>
            <w:r>
              <w:rPr>
                <w:rFonts w:ascii="標楷體" w:eastAsia="標楷體" w:hAnsi="標楷體"/>
                <w:color w:val="000000"/>
                <w:szCs w:val="24"/>
              </w:rPr>
              <w:t>以計畫執行單位出具之領據</w:t>
            </w:r>
          </w:p>
          <w:p w:rsidR="008A632B" w:rsidRDefault="002047D4">
            <w:pPr>
              <w:pStyle w:val="Standard"/>
              <w:tabs>
                <w:tab w:val="left" w:pos="1452"/>
              </w:tabs>
              <w:jc w:val="both"/>
            </w:pPr>
            <w:r>
              <w:rPr>
                <w:rFonts w:ascii="標楷體" w:eastAsia="標楷體" w:hAnsi="標楷體"/>
              </w:rPr>
              <w:t xml:space="preserve">    </w:t>
            </w:r>
            <w:r>
              <w:rPr>
                <w:rFonts w:ascii="標楷體" w:eastAsia="標楷體" w:hAnsi="標楷體"/>
                <w:color w:val="000000"/>
                <w:szCs w:val="24"/>
              </w:rPr>
              <w:t>結報。</w:t>
            </w:r>
          </w:p>
        </w:tc>
      </w:tr>
      <w:tr w:rsidR="008A632B">
        <w:tblPrEx>
          <w:tblCellMar>
            <w:top w:w="0" w:type="dxa"/>
            <w:bottom w:w="0" w:type="dxa"/>
          </w:tblCellMar>
        </w:tblPrEx>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1440"/>
              </w:tabs>
              <w:jc w:val="both"/>
            </w:pPr>
            <w:r>
              <w:rPr>
                <w:rFonts w:eastAsia="標楷體"/>
              </w:rPr>
              <w:t>四、</w:t>
            </w:r>
            <w:r>
              <w:rPr>
                <w:rFonts w:ascii="標楷體" w:eastAsia="標楷體" w:hAnsi="標楷體"/>
                <w:color w:val="000000"/>
                <w:szCs w:val="24"/>
              </w:rPr>
              <w:t>設備及投資</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其他</w:t>
            </w:r>
            <w:r>
              <w:rPr>
                <w:rFonts w:ascii="標楷體" w:eastAsia="標楷體" w:hAnsi="標楷體"/>
                <w:color w:val="000000"/>
                <w:szCs w:val="24"/>
              </w:rPr>
              <w:t>(</w:t>
            </w:r>
            <w:r>
              <w:rPr>
                <w:rFonts w:ascii="標楷體" w:eastAsia="標楷體" w:hAnsi="標楷體"/>
                <w:color w:val="000000"/>
                <w:szCs w:val="24"/>
              </w:rPr>
              <w:t>請註明項目名稱</w:t>
            </w:r>
            <w:r>
              <w:rPr>
                <w:rFonts w:ascii="標楷體" w:eastAsia="標楷體" w:hAnsi="標楷體"/>
                <w:color w:val="000000"/>
                <w:szCs w:val="24"/>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1452"/>
              </w:tabs>
              <w:jc w:val="both"/>
            </w:pPr>
            <w:r>
              <w:rPr>
                <w:rFonts w:ascii="標楷體" w:eastAsia="標楷體" w:hAnsi="標楷體"/>
                <w:color w:val="000000"/>
                <w:szCs w:val="24"/>
              </w:rPr>
              <w:t>一、依行政院或計畫各項經費</w:t>
            </w:r>
          </w:p>
          <w:p w:rsidR="008A632B" w:rsidRDefault="002047D4">
            <w:pPr>
              <w:pStyle w:val="Standard"/>
              <w:tabs>
                <w:tab w:val="left" w:pos="1452"/>
              </w:tabs>
              <w:jc w:val="both"/>
            </w:pPr>
            <w:r>
              <w:rPr>
                <w:rFonts w:eastAsia="標楷體"/>
              </w:rPr>
              <w:t xml:space="preserve">        </w:t>
            </w:r>
            <w:r>
              <w:rPr>
                <w:rFonts w:ascii="標楷體" w:eastAsia="標楷體" w:hAnsi="標楷體"/>
                <w:color w:val="000000"/>
                <w:szCs w:val="24"/>
              </w:rPr>
              <w:t>支用規定。</w:t>
            </w:r>
          </w:p>
          <w:p w:rsidR="008A632B" w:rsidRDefault="002047D4">
            <w:pPr>
              <w:pStyle w:val="Standard"/>
              <w:tabs>
                <w:tab w:val="left" w:pos="1452"/>
              </w:tabs>
              <w:jc w:val="both"/>
            </w:pPr>
            <w:r>
              <w:rPr>
                <w:rFonts w:eastAsia="標楷體"/>
              </w:rPr>
              <w:t>二、</w:t>
            </w:r>
            <w:r>
              <w:rPr>
                <w:rFonts w:ascii="標楷體" w:eastAsia="標楷體" w:hAnsi="標楷體"/>
                <w:color w:val="000000"/>
                <w:szCs w:val="24"/>
              </w:rPr>
              <w:t>資訊設備應依行政院主計</w:t>
            </w:r>
          </w:p>
          <w:p w:rsidR="008A632B" w:rsidRDefault="002047D4">
            <w:pPr>
              <w:pStyle w:val="Standard"/>
              <w:tabs>
                <w:tab w:val="left" w:pos="1452"/>
              </w:tabs>
              <w:jc w:val="both"/>
            </w:pPr>
            <w:r>
              <w:rPr>
                <w:rFonts w:ascii="標楷體" w:eastAsia="標楷體" w:hAnsi="標楷體"/>
                <w:color w:val="000000"/>
                <w:szCs w:val="24"/>
              </w:rPr>
              <w:t xml:space="preserve">    </w:t>
            </w:r>
            <w:r>
              <w:rPr>
                <w:rFonts w:ascii="標楷體" w:eastAsia="標楷體" w:hAnsi="標楷體"/>
                <w:color w:val="000000"/>
                <w:szCs w:val="24"/>
              </w:rPr>
              <w:t>總處公告之共同性費用編</w:t>
            </w:r>
          </w:p>
          <w:p w:rsidR="008A632B" w:rsidRDefault="002047D4">
            <w:pPr>
              <w:pStyle w:val="Standard"/>
              <w:tabs>
                <w:tab w:val="left" w:pos="1452"/>
              </w:tabs>
              <w:jc w:val="both"/>
            </w:pPr>
            <w:r>
              <w:t xml:space="preserve">        </w:t>
            </w:r>
            <w:r>
              <w:rPr>
                <w:rFonts w:ascii="標楷體" w:eastAsia="標楷體" w:hAnsi="標楷體"/>
                <w:color w:val="000000"/>
                <w:szCs w:val="24"/>
              </w:rPr>
              <w:t>列基準表規定編列。</w:t>
            </w:r>
          </w:p>
        </w:tc>
        <w:tc>
          <w:tcPr>
            <w:tcW w:w="3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632B" w:rsidRDefault="002047D4">
            <w:pPr>
              <w:pStyle w:val="Standard"/>
              <w:tabs>
                <w:tab w:val="left" w:pos="6240"/>
              </w:tabs>
              <w:jc w:val="both"/>
            </w:pPr>
            <w:r>
              <w:rPr>
                <w:rFonts w:ascii="標楷體" w:eastAsia="標楷體" w:hAnsi="標楷體"/>
                <w:color w:val="000000"/>
                <w:szCs w:val="24"/>
              </w:rPr>
              <w:t>應依行政院訂定之「財物標準分類」及行政院主計總處訂定之「各類歲入、歲出預算經常、資本門劃分標準」規定。</w:t>
            </w:r>
          </w:p>
        </w:tc>
      </w:tr>
    </w:tbl>
    <w:p w:rsidR="008A632B" w:rsidRDefault="008A632B">
      <w:pPr>
        <w:pStyle w:val="Standard"/>
        <w:tabs>
          <w:tab w:val="left" w:pos="6240"/>
        </w:tabs>
      </w:pPr>
    </w:p>
    <w:sectPr w:rsidR="008A632B">
      <w:pgSz w:w="11906" w:h="16838"/>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D4" w:rsidRDefault="002047D4">
      <w:r>
        <w:separator/>
      </w:r>
    </w:p>
  </w:endnote>
  <w:endnote w:type="continuationSeparator" w:id="0">
    <w:p w:rsidR="002047D4" w:rsidRDefault="0020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40502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D4" w:rsidRDefault="002047D4">
      <w:r>
        <w:rPr>
          <w:color w:val="000000"/>
        </w:rPr>
        <w:separator/>
      </w:r>
    </w:p>
  </w:footnote>
  <w:footnote w:type="continuationSeparator" w:id="0">
    <w:p w:rsidR="002047D4" w:rsidRDefault="002047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A05"/>
    <w:multiLevelType w:val="multilevel"/>
    <w:tmpl w:val="63949990"/>
    <w:styleLink w:val="WWNum13"/>
    <w:lvl w:ilvl="0">
      <w:start w:val="1"/>
      <w:numFmt w:val="decimal"/>
      <w:lvlText w:val="%1."/>
      <w:lvlJc w:val="left"/>
      <w:pPr>
        <w:ind w:left="425" w:hanging="85"/>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E73B8E"/>
    <w:multiLevelType w:val="multilevel"/>
    <w:tmpl w:val="E0F47BCC"/>
    <w:styleLink w:val="WWNum4"/>
    <w:lvl w:ilvl="0">
      <w:start w:val="1"/>
      <w:numFmt w:val="japaneseCounting"/>
      <w:lvlText w:val="%1、"/>
      <w:lvlJc w:val="left"/>
      <w:pPr>
        <w:ind w:left="480" w:hanging="480"/>
      </w:pPr>
      <w:rPr>
        <w:rFonts w:cs="Times New Roman"/>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15156972"/>
    <w:multiLevelType w:val="multilevel"/>
    <w:tmpl w:val="EA4621A2"/>
    <w:styleLink w:val="WWNum29"/>
    <w:lvl w:ilvl="0">
      <w:start w:val="2"/>
      <w:numFmt w:val="japaneseCounting"/>
      <w:lvlText w:val="%1、"/>
      <w:lvlJc w:val="left"/>
      <w:pPr>
        <w:ind w:left="420" w:hanging="420"/>
      </w:pPr>
      <w:rPr>
        <w:rFonts w:eastAsia="Times New Roman"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5687DDD"/>
    <w:multiLevelType w:val="multilevel"/>
    <w:tmpl w:val="C4E2997A"/>
    <w:styleLink w:val="WWNum20"/>
    <w:lvl w:ilvl="0">
      <w:start w:val="3"/>
      <w:numFmt w:val="none"/>
      <w:lvlText w:val="%1一）"/>
      <w:lvlJc w:val="left"/>
      <w:pPr>
        <w:ind w:left="96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5A10880"/>
    <w:multiLevelType w:val="multilevel"/>
    <w:tmpl w:val="7390DF5E"/>
    <w:styleLink w:val="WWNum3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85C3577"/>
    <w:multiLevelType w:val="multilevel"/>
    <w:tmpl w:val="BE428A1A"/>
    <w:styleLink w:val="WWNum35"/>
    <w:lvl w:ilvl="0">
      <w:start w:val="2"/>
      <w:numFmt w:val="japaneseCounting"/>
      <w:lvlText w:val="%1、"/>
      <w:lvlJc w:val="left"/>
      <w:pPr>
        <w:ind w:left="375" w:hanging="37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1E722E26"/>
    <w:multiLevelType w:val="multilevel"/>
    <w:tmpl w:val="22CE9EC8"/>
    <w:styleLink w:val="WWNum1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239D63C4"/>
    <w:multiLevelType w:val="multilevel"/>
    <w:tmpl w:val="6A32618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23CC04C7"/>
    <w:multiLevelType w:val="multilevel"/>
    <w:tmpl w:val="C6E4D1E8"/>
    <w:styleLink w:val="WWNum34"/>
    <w:lvl w:ilvl="0">
      <w:start w:val="1"/>
      <w:numFmt w:val="japaneseCounting"/>
      <w:lvlText w:val="(%1)"/>
      <w:lvlJc w:val="left"/>
      <w:pPr>
        <w:ind w:left="737" w:hanging="624"/>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2A541E60"/>
    <w:multiLevelType w:val="multilevel"/>
    <w:tmpl w:val="01765F70"/>
    <w:styleLink w:val="WWNum21"/>
    <w:lvl w:ilvl="0">
      <w:start w:val="3"/>
      <w:numFmt w:val="none"/>
      <w:lvlText w:val="%1一）"/>
      <w:lvlJc w:val="left"/>
      <w:pPr>
        <w:ind w:left="96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2CB67451"/>
    <w:multiLevelType w:val="multilevel"/>
    <w:tmpl w:val="3C8E73CE"/>
    <w:styleLink w:val="WWNum33"/>
    <w:lvl w:ilvl="0">
      <w:start w:val="2"/>
      <w:numFmt w:val="japaneseCounting"/>
      <w:lvlText w:val="%1、"/>
      <w:lvlJc w:val="left"/>
      <w:pPr>
        <w:ind w:left="420" w:hanging="4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BF3D79"/>
    <w:multiLevelType w:val="multilevel"/>
    <w:tmpl w:val="17B86518"/>
    <w:styleLink w:val="WWNum4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04E6DDD"/>
    <w:multiLevelType w:val="multilevel"/>
    <w:tmpl w:val="152EC6F8"/>
    <w:styleLink w:val="WWNum15"/>
    <w:lvl w:ilvl="0">
      <w:start w:val="2"/>
      <w:numFmt w:val="japaneseCounting"/>
      <w:lvlText w:val="%1、"/>
      <w:lvlJc w:val="left"/>
      <w:pPr>
        <w:ind w:left="420" w:hanging="42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3D8169F"/>
    <w:multiLevelType w:val="multilevel"/>
    <w:tmpl w:val="FF7A7442"/>
    <w:styleLink w:val="WWNum41"/>
    <w:lvl w:ilvl="0">
      <w:start w:val="1"/>
      <w:numFmt w:val="decimal"/>
      <w:lvlText w:val="%1、"/>
      <w:lvlJc w:val="left"/>
      <w:pPr>
        <w:ind w:left="48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5A06D46"/>
    <w:multiLevelType w:val="multilevel"/>
    <w:tmpl w:val="DFB24564"/>
    <w:styleLink w:val="WWNum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093D90"/>
    <w:multiLevelType w:val="multilevel"/>
    <w:tmpl w:val="1382B4E8"/>
    <w:styleLink w:val="WWNum18"/>
    <w:lvl w:ilvl="0">
      <w:start w:val="1"/>
      <w:numFmt w:val="japaneseCounting"/>
      <w:lvlText w:val="(%1)"/>
      <w:lvlJc w:val="left"/>
      <w:pPr>
        <w:ind w:left="737" w:hanging="624"/>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82B0E33"/>
    <w:multiLevelType w:val="multilevel"/>
    <w:tmpl w:val="F1CEFF52"/>
    <w:styleLink w:val="WWNum9"/>
    <w:lvl w:ilvl="0">
      <w:start w:val="1"/>
      <w:numFmt w:val="japaneseCounting"/>
      <w:lvlText w:val="%1、"/>
      <w:lvlJc w:val="left"/>
      <w:pPr>
        <w:ind w:left="480" w:hanging="480"/>
      </w:pPr>
      <w:rPr>
        <w:rFonts w:cs="Times New Roman"/>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39F47EB1"/>
    <w:multiLevelType w:val="multilevel"/>
    <w:tmpl w:val="5AA02AD0"/>
    <w:styleLink w:val="WWNum7"/>
    <w:lvl w:ilvl="0">
      <w:start w:val="1"/>
      <w:numFmt w:val="lowerLetter"/>
      <w:lvlText w:val="%1."/>
      <w:lvlJc w:val="left"/>
      <w:pPr>
        <w:ind w:left="1532" w:hanging="360"/>
      </w:pPr>
      <w:rPr>
        <w:rFonts w:cs="Times New Roman"/>
      </w:rPr>
    </w:lvl>
    <w:lvl w:ilvl="1">
      <w:start w:val="1"/>
      <w:numFmt w:val="ideographTraditional"/>
      <w:lvlText w:val="%2、"/>
      <w:lvlJc w:val="left"/>
      <w:pPr>
        <w:ind w:left="2132" w:hanging="480"/>
      </w:pPr>
      <w:rPr>
        <w:rFonts w:cs="Times New Roman"/>
      </w:rPr>
    </w:lvl>
    <w:lvl w:ilvl="2">
      <w:start w:val="1"/>
      <w:numFmt w:val="lowerRoman"/>
      <w:lvlText w:val="%3."/>
      <w:lvlJc w:val="right"/>
      <w:pPr>
        <w:ind w:left="2612" w:hanging="480"/>
      </w:pPr>
      <w:rPr>
        <w:rFonts w:cs="Times New Roman"/>
      </w:rPr>
    </w:lvl>
    <w:lvl w:ilvl="3">
      <w:start w:val="1"/>
      <w:numFmt w:val="decimal"/>
      <w:lvlText w:val="%4."/>
      <w:lvlJc w:val="left"/>
      <w:pPr>
        <w:ind w:left="3092" w:hanging="480"/>
      </w:pPr>
      <w:rPr>
        <w:rFonts w:cs="Times New Roman"/>
      </w:rPr>
    </w:lvl>
    <w:lvl w:ilvl="4">
      <w:start w:val="1"/>
      <w:numFmt w:val="ideographTraditional"/>
      <w:lvlText w:val="%5、"/>
      <w:lvlJc w:val="left"/>
      <w:pPr>
        <w:ind w:left="3572" w:hanging="480"/>
      </w:pPr>
      <w:rPr>
        <w:rFonts w:cs="Times New Roman"/>
      </w:rPr>
    </w:lvl>
    <w:lvl w:ilvl="5">
      <w:start w:val="1"/>
      <w:numFmt w:val="lowerRoman"/>
      <w:lvlText w:val="%6."/>
      <w:lvlJc w:val="right"/>
      <w:pPr>
        <w:ind w:left="4052" w:hanging="480"/>
      </w:pPr>
      <w:rPr>
        <w:rFonts w:cs="Times New Roman"/>
      </w:rPr>
    </w:lvl>
    <w:lvl w:ilvl="6">
      <w:start w:val="1"/>
      <w:numFmt w:val="decimal"/>
      <w:lvlText w:val="%7."/>
      <w:lvlJc w:val="left"/>
      <w:pPr>
        <w:ind w:left="4532" w:hanging="480"/>
      </w:pPr>
      <w:rPr>
        <w:rFonts w:cs="Times New Roman"/>
      </w:rPr>
    </w:lvl>
    <w:lvl w:ilvl="7">
      <w:start w:val="1"/>
      <w:numFmt w:val="ideographTraditional"/>
      <w:lvlText w:val="%8、"/>
      <w:lvlJc w:val="left"/>
      <w:pPr>
        <w:ind w:left="5012" w:hanging="480"/>
      </w:pPr>
      <w:rPr>
        <w:rFonts w:cs="Times New Roman"/>
      </w:rPr>
    </w:lvl>
    <w:lvl w:ilvl="8">
      <w:start w:val="1"/>
      <w:numFmt w:val="lowerRoman"/>
      <w:lvlText w:val="%9."/>
      <w:lvlJc w:val="right"/>
      <w:pPr>
        <w:ind w:left="5492" w:hanging="480"/>
      </w:pPr>
      <w:rPr>
        <w:rFonts w:cs="Times New Roman"/>
      </w:rPr>
    </w:lvl>
  </w:abstractNum>
  <w:abstractNum w:abstractNumId="18" w15:restartNumberingAfterBreak="0">
    <w:nsid w:val="3FEA29ED"/>
    <w:multiLevelType w:val="multilevel"/>
    <w:tmpl w:val="2BE66C94"/>
    <w:styleLink w:val="WWNum10"/>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42992A55"/>
    <w:multiLevelType w:val="multilevel"/>
    <w:tmpl w:val="4E0C8720"/>
    <w:styleLink w:val="WWNum4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3FC5E9D"/>
    <w:multiLevelType w:val="multilevel"/>
    <w:tmpl w:val="0D98BD44"/>
    <w:styleLink w:val="WWNum17"/>
    <w:lvl w:ilvl="0">
      <w:start w:val="1"/>
      <w:numFmt w:val="japaneseCounting"/>
      <w:lvlText w:val="(%1)"/>
      <w:lvlJc w:val="left"/>
      <w:pPr>
        <w:ind w:left="737" w:hanging="624"/>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58A730A"/>
    <w:multiLevelType w:val="multilevel"/>
    <w:tmpl w:val="2A2406D0"/>
    <w:styleLink w:val="WWNum25"/>
    <w:lvl w:ilvl="0">
      <w:start w:val="2"/>
      <w:numFmt w:val="japaneseCounting"/>
      <w:lvlText w:val="%1、"/>
      <w:lvlJc w:val="left"/>
      <w:pPr>
        <w:ind w:left="563" w:hanging="450"/>
      </w:pPr>
      <w:rPr>
        <w:rFonts w:cs="Times New Roman"/>
      </w:rPr>
    </w:lvl>
    <w:lvl w:ilvl="1">
      <w:start w:val="1"/>
      <w:numFmt w:val="ideographTraditional"/>
      <w:lvlText w:val="%2、"/>
      <w:lvlJc w:val="left"/>
      <w:pPr>
        <w:ind w:left="1073" w:hanging="480"/>
      </w:pPr>
      <w:rPr>
        <w:rFonts w:cs="Times New Roman"/>
      </w:rPr>
    </w:lvl>
    <w:lvl w:ilvl="2">
      <w:start w:val="1"/>
      <w:numFmt w:val="lowerRoman"/>
      <w:lvlText w:val="%3."/>
      <w:lvlJc w:val="right"/>
      <w:pPr>
        <w:ind w:left="1553" w:hanging="480"/>
      </w:pPr>
      <w:rPr>
        <w:rFonts w:cs="Times New Roman"/>
      </w:rPr>
    </w:lvl>
    <w:lvl w:ilvl="3">
      <w:start w:val="1"/>
      <w:numFmt w:val="decimal"/>
      <w:lvlText w:val="%4."/>
      <w:lvlJc w:val="left"/>
      <w:pPr>
        <w:ind w:left="2033" w:hanging="480"/>
      </w:pPr>
      <w:rPr>
        <w:rFonts w:cs="Times New Roman"/>
      </w:rPr>
    </w:lvl>
    <w:lvl w:ilvl="4">
      <w:start w:val="1"/>
      <w:numFmt w:val="ideographTraditional"/>
      <w:lvlText w:val="%5、"/>
      <w:lvlJc w:val="left"/>
      <w:pPr>
        <w:ind w:left="2513" w:hanging="480"/>
      </w:pPr>
      <w:rPr>
        <w:rFonts w:cs="Times New Roman"/>
      </w:rPr>
    </w:lvl>
    <w:lvl w:ilvl="5">
      <w:start w:val="1"/>
      <w:numFmt w:val="lowerRoman"/>
      <w:lvlText w:val="%6."/>
      <w:lvlJc w:val="right"/>
      <w:pPr>
        <w:ind w:left="2993" w:hanging="480"/>
      </w:pPr>
      <w:rPr>
        <w:rFonts w:cs="Times New Roman"/>
      </w:rPr>
    </w:lvl>
    <w:lvl w:ilvl="6">
      <w:start w:val="1"/>
      <w:numFmt w:val="decimal"/>
      <w:lvlText w:val="%7."/>
      <w:lvlJc w:val="left"/>
      <w:pPr>
        <w:ind w:left="3473" w:hanging="480"/>
      </w:pPr>
      <w:rPr>
        <w:rFonts w:cs="Times New Roman"/>
      </w:rPr>
    </w:lvl>
    <w:lvl w:ilvl="7">
      <w:start w:val="1"/>
      <w:numFmt w:val="ideographTraditional"/>
      <w:lvlText w:val="%8、"/>
      <w:lvlJc w:val="left"/>
      <w:pPr>
        <w:ind w:left="3953" w:hanging="480"/>
      </w:pPr>
      <w:rPr>
        <w:rFonts w:cs="Times New Roman"/>
      </w:rPr>
    </w:lvl>
    <w:lvl w:ilvl="8">
      <w:start w:val="1"/>
      <w:numFmt w:val="lowerRoman"/>
      <w:lvlText w:val="%9."/>
      <w:lvlJc w:val="right"/>
      <w:pPr>
        <w:ind w:left="4433" w:hanging="480"/>
      </w:pPr>
      <w:rPr>
        <w:rFonts w:cs="Times New Roman"/>
      </w:rPr>
    </w:lvl>
  </w:abstractNum>
  <w:abstractNum w:abstractNumId="22" w15:restartNumberingAfterBreak="0">
    <w:nsid w:val="45EB1D25"/>
    <w:multiLevelType w:val="multilevel"/>
    <w:tmpl w:val="883C0776"/>
    <w:styleLink w:val="WWNum16"/>
    <w:lvl w:ilvl="0">
      <w:start w:val="2"/>
      <w:numFmt w:val="japaneseCounting"/>
      <w:lvlText w:val="%1、"/>
      <w:lvlJc w:val="left"/>
      <w:pPr>
        <w:ind w:left="480" w:hanging="48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BBB1B0F"/>
    <w:multiLevelType w:val="multilevel"/>
    <w:tmpl w:val="84D0C04C"/>
    <w:styleLink w:val="WWNum3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F693646"/>
    <w:multiLevelType w:val="multilevel"/>
    <w:tmpl w:val="D1F8BD26"/>
    <w:styleLink w:val="WWNum3"/>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50185F42"/>
    <w:multiLevelType w:val="multilevel"/>
    <w:tmpl w:val="68ECBCDA"/>
    <w:styleLink w:val="WWNum2"/>
    <w:lvl w:ilvl="0">
      <w:start w:val="1"/>
      <w:numFmt w:val="japaneseCounting"/>
      <w:lvlText w:val="%1、"/>
      <w:lvlJc w:val="left"/>
      <w:pPr>
        <w:ind w:left="480" w:hanging="480"/>
      </w:pPr>
      <w:rPr>
        <w:rFonts w:cs="Times New Roman"/>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502F5A16"/>
    <w:multiLevelType w:val="multilevel"/>
    <w:tmpl w:val="9AAE87CC"/>
    <w:styleLink w:val="WWNum19"/>
    <w:lvl w:ilvl="0">
      <w:start w:val="3"/>
      <w:numFmt w:val="none"/>
      <w:lvlText w:val="%1二）"/>
      <w:lvlJc w:val="left"/>
      <w:pPr>
        <w:ind w:left="960" w:hanging="72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2EC6DBC"/>
    <w:multiLevelType w:val="multilevel"/>
    <w:tmpl w:val="3920DA06"/>
    <w:styleLink w:val="WWNum31"/>
    <w:lvl w:ilvl="0">
      <w:start w:val="2"/>
      <w:numFmt w:val="japaneseCounting"/>
      <w:lvlText w:val="%1、"/>
      <w:lvlJc w:val="left"/>
      <w:pPr>
        <w:ind w:left="420" w:hanging="420"/>
      </w:pPr>
      <w:rPr>
        <w:rFonts w:eastAsia="Times New Roman"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5B6A3438"/>
    <w:multiLevelType w:val="multilevel"/>
    <w:tmpl w:val="038A1EF8"/>
    <w:styleLink w:val="WWNum14"/>
    <w:lvl w:ilvl="0">
      <w:start w:val="1"/>
      <w:numFmt w:val="upperRoman"/>
      <w:lvlText w:val="%1."/>
      <w:lvlJc w:val="left"/>
      <w:pPr>
        <w:ind w:left="480" w:hanging="48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E117F78"/>
    <w:multiLevelType w:val="multilevel"/>
    <w:tmpl w:val="D3C02E2C"/>
    <w:styleLink w:val="WWNum23"/>
    <w:lvl w:ilvl="0">
      <w:start w:val="2"/>
      <w:numFmt w:val="japaneseCounting"/>
      <w:lvlText w:val="%1、"/>
      <w:lvlJc w:val="left"/>
      <w:pPr>
        <w:ind w:left="420" w:hanging="4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5E302382"/>
    <w:multiLevelType w:val="multilevel"/>
    <w:tmpl w:val="CD468918"/>
    <w:styleLink w:val="WWNum26"/>
    <w:lvl w:ilvl="0">
      <w:start w:val="2"/>
      <w:numFmt w:val="japaneseCounting"/>
      <w:lvlText w:val="%1、"/>
      <w:lvlJc w:val="left"/>
      <w:pPr>
        <w:ind w:left="420" w:hanging="4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15:restartNumberingAfterBreak="0">
    <w:nsid w:val="5EBF07D1"/>
    <w:multiLevelType w:val="multilevel"/>
    <w:tmpl w:val="089E08D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0E04BBF"/>
    <w:multiLevelType w:val="multilevel"/>
    <w:tmpl w:val="2236D10E"/>
    <w:styleLink w:val="WWNum30"/>
    <w:lvl w:ilvl="0">
      <w:start w:val="2"/>
      <w:numFmt w:val="japaneseCounting"/>
      <w:lvlText w:val="%1、"/>
      <w:lvlJc w:val="left"/>
      <w:pPr>
        <w:ind w:left="420" w:hanging="420"/>
      </w:pPr>
      <w:rPr>
        <w:rFonts w:eastAsia="Times New Roman"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63377DE6"/>
    <w:multiLevelType w:val="multilevel"/>
    <w:tmpl w:val="7F242AF6"/>
    <w:styleLink w:val="WWNum24"/>
    <w:lvl w:ilvl="0">
      <w:start w:val="4"/>
      <w:numFmt w:val="japaneseCounting"/>
      <w:lvlText w:val="%1、"/>
      <w:lvlJc w:val="left"/>
      <w:pPr>
        <w:ind w:left="420" w:hanging="4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648F0EF8"/>
    <w:multiLevelType w:val="multilevel"/>
    <w:tmpl w:val="E95E66C0"/>
    <w:styleLink w:val="WWNum32"/>
    <w:lvl w:ilvl="0">
      <w:start w:val="1"/>
      <w:numFmt w:val="japaneseCounting"/>
      <w:lvlText w:val="%1、"/>
      <w:lvlJc w:val="left"/>
      <w:pPr>
        <w:ind w:left="480" w:hanging="480"/>
      </w:pPr>
      <w:rPr>
        <w:rFonts w:cs="Times New Roman"/>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67132267"/>
    <w:multiLevelType w:val="multilevel"/>
    <w:tmpl w:val="E352875A"/>
    <w:styleLink w:val="WWNum3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AEC2195"/>
    <w:multiLevelType w:val="multilevel"/>
    <w:tmpl w:val="3274E8AA"/>
    <w:styleLink w:val="WWNum8"/>
    <w:lvl w:ilvl="0">
      <w:start w:val="1"/>
      <w:numFmt w:val="japaneseCounting"/>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 w15:restartNumberingAfterBreak="0">
    <w:nsid w:val="6F0F4F87"/>
    <w:multiLevelType w:val="multilevel"/>
    <w:tmpl w:val="73BC6E5A"/>
    <w:styleLink w:val="WWNum5"/>
    <w:lvl w:ilvl="0">
      <w:start w:val="1"/>
      <w:numFmt w:val="lowerLetter"/>
      <w:lvlText w:val="%1."/>
      <w:lvlJc w:val="left"/>
      <w:pPr>
        <w:ind w:left="1052" w:hanging="360"/>
      </w:pPr>
      <w:rPr>
        <w:rFonts w:cs="Times New Roman"/>
      </w:rPr>
    </w:lvl>
    <w:lvl w:ilvl="1">
      <w:start w:val="1"/>
      <w:numFmt w:val="decimal"/>
      <w:lvlText w:val="%2."/>
      <w:lvlJc w:val="left"/>
      <w:pPr>
        <w:ind w:left="1532" w:hanging="360"/>
      </w:pPr>
      <w:rPr>
        <w:rFonts w:cs="Times New Roman"/>
      </w:rPr>
    </w:lvl>
    <w:lvl w:ilvl="2">
      <w:start w:val="1"/>
      <w:numFmt w:val="lowerRoman"/>
      <w:lvlText w:val="%3."/>
      <w:lvlJc w:val="right"/>
      <w:pPr>
        <w:ind w:left="2132" w:hanging="480"/>
      </w:pPr>
      <w:rPr>
        <w:rFonts w:cs="Times New Roman"/>
      </w:rPr>
    </w:lvl>
    <w:lvl w:ilvl="3">
      <w:start w:val="1"/>
      <w:numFmt w:val="decimal"/>
      <w:lvlText w:val="%4."/>
      <w:lvlJc w:val="left"/>
      <w:pPr>
        <w:ind w:left="2612" w:hanging="480"/>
      </w:pPr>
      <w:rPr>
        <w:rFonts w:cs="Times New Roman"/>
      </w:rPr>
    </w:lvl>
    <w:lvl w:ilvl="4">
      <w:start w:val="1"/>
      <w:numFmt w:val="ideographTraditional"/>
      <w:lvlText w:val="%5、"/>
      <w:lvlJc w:val="left"/>
      <w:pPr>
        <w:ind w:left="3092" w:hanging="480"/>
      </w:pPr>
      <w:rPr>
        <w:rFonts w:cs="Times New Roman"/>
      </w:rPr>
    </w:lvl>
    <w:lvl w:ilvl="5">
      <w:start w:val="1"/>
      <w:numFmt w:val="lowerRoman"/>
      <w:lvlText w:val="%6."/>
      <w:lvlJc w:val="right"/>
      <w:pPr>
        <w:ind w:left="3572" w:hanging="480"/>
      </w:pPr>
      <w:rPr>
        <w:rFonts w:cs="Times New Roman"/>
      </w:rPr>
    </w:lvl>
    <w:lvl w:ilvl="6">
      <w:start w:val="1"/>
      <w:numFmt w:val="decimal"/>
      <w:lvlText w:val="%7."/>
      <w:lvlJc w:val="left"/>
      <w:pPr>
        <w:ind w:left="4052" w:hanging="480"/>
      </w:pPr>
      <w:rPr>
        <w:rFonts w:cs="Times New Roman"/>
      </w:rPr>
    </w:lvl>
    <w:lvl w:ilvl="7">
      <w:start w:val="1"/>
      <w:numFmt w:val="ideographTraditional"/>
      <w:lvlText w:val="%8、"/>
      <w:lvlJc w:val="left"/>
      <w:pPr>
        <w:ind w:left="4532" w:hanging="480"/>
      </w:pPr>
      <w:rPr>
        <w:rFonts w:cs="Times New Roman"/>
      </w:rPr>
    </w:lvl>
    <w:lvl w:ilvl="8">
      <w:start w:val="1"/>
      <w:numFmt w:val="lowerRoman"/>
      <w:lvlText w:val="%9."/>
      <w:lvlJc w:val="right"/>
      <w:pPr>
        <w:ind w:left="5012" w:hanging="480"/>
      </w:pPr>
      <w:rPr>
        <w:rFonts w:cs="Times New Roman"/>
      </w:rPr>
    </w:lvl>
  </w:abstractNum>
  <w:abstractNum w:abstractNumId="38" w15:restartNumberingAfterBreak="0">
    <w:nsid w:val="72796A22"/>
    <w:multiLevelType w:val="multilevel"/>
    <w:tmpl w:val="D6924CD2"/>
    <w:styleLink w:val="WWNum6"/>
    <w:lvl w:ilvl="0">
      <w:start w:val="1"/>
      <w:numFmt w:val="lowerLetter"/>
      <w:lvlText w:val="%1."/>
      <w:lvlJc w:val="left"/>
      <w:pPr>
        <w:ind w:left="1532" w:hanging="360"/>
      </w:pPr>
      <w:rPr>
        <w:rFonts w:cs="Times New Roman"/>
      </w:rPr>
    </w:lvl>
    <w:lvl w:ilvl="1">
      <w:start w:val="1"/>
      <w:numFmt w:val="ideographTraditional"/>
      <w:lvlText w:val="%2、"/>
      <w:lvlJc w:val="left"/>
      <w:pPr>
        <w:ind w:left="2132" w:hanging="480"/>
      </w:pPr>
      <w:rPr>
        <w:rFonts w:cs="Times New Roman"/>
      </w:rPr>
    </w:lvl>
    <w:lvl w:ilvl="2">
      <w:start w:val="1"/>
      <w:numFmt w:val="lowerRoman"/>
      <w:lvlText w:val="%3."/>
      <w:lvlJc w:val="right"/>
      <w:pPr>
        <w:ind w:left="2612" w:hanging="480"/>
      </w:pPr>
      <w:rPr>
        <w:rFonts w:cs="Times New Roman"/>
      </w:rPr>
    </w:lvl>
    <w:lvl w:ilvl="3">
      <w:start w:val="1"/>
      <w:numFmt w:val="decimal"/>
      <w:lvlText w:val="%4."/>
      <w:lvlJc w:val="left"/>
      <w:pPr>
        <w:ind w:left="3092" w:hanging="480"/>
      </w:pPr>
      <w:rPr>
        <w:rFonts w:cs="Times New Roman"/>
      </w:rPr>
    </w:lvl>
    <w:lvl w:ilvl="4">
      <w:start w:val="1"/>
      <w:numFmt w:val="ideographTraditional"/>
      <w:lvlText w:val="%5、"/>
      <w:lvlJc w:val="left"/>
      <w:pPr>
        <w:ind w:left="3572" w:hanging="480"/>
      </w:pPr>
      <w:rPr>
        <w:rFonts w:cs="Times New Roman"/>
      </w:rPr>
    </w:lvl>
    <w:lvl w:ilvl="5">
      <w:start w:val="1"/>
      <w:numFmt w:val="lowerRoman"/>
      <w:lvlText w:val="%6."/>
      <w:lvlJc w:val="right"/>
      <w:pPr>
        <w:ind w:left="4052" w:hanging="480"/>
      </w:pPr>
      <w:rPr>
        <w:rFonts w:cs="Times New Roman"/>
      </w:rPr>
    </w:lvl>
    <w:lvl w:ilvl="6">
      <w:start w:val="1"/>
      <w:numFmt w:val="decimal"/>
      <w:lvlText w:val="%7."/>
      <w:lvlJc w:val="left"/>
      <w:pPr>
        <w:ind w:left="4532" w:hanging="480"/>
      </w:pPr>
      <w:rPr>
        <w:rFonts w:cs="Times New Roman"/>
      </w:rPr>
    </w:lvl>
    <w:lvl w:ilvl="7">
      <w:start w:val="1"/>
      <w:numFmt w:val="ideographTraditional"/>
      <w:lvlText w:val="%8、"/>
      <w:lvlJc w:val="left"/>
      <w:pPr>
        <w:ind w:left="5012" w:hanging="480"/>
      </w:pPr>
      <w:rPr>
        <w:rFonts w:cs="Times New Roman"/>
      </w:rPr>
    </w:lvl>
    <w:lvl w:ilvl="8">
      <w:start w:val="1"/>
      <w:numFmt w:val="lowerRoman"/>
      <w:lvlText w:val="%9."/>
      <w:lvlJc w:val="right"/>
      <w:pPr>
        <w:ind w:left="5492" w:hanging="480"/>
      </w:pPr>
      <w:rPr>
        <w:rFonts w:cs="Times New Roman"/>
      </w:rPr>
    </w:lvl>
  </w:abstractNum>
  <w:abstractNum w:abstractNumId="39" w15:restartNumberingAfterBreak="0">
    <w:nsid w:val="72877B57"/>
    <w:multiLevelType w:val="multilevel"/>
    <w:tmpl w:val="23F27EBE"/>
    <w:styleLink w:val="WWNum1"/>
    <w:lvl w:ilvl="0">
      <w:start w:val="1"/>
      <w:numFmt w:val="japaneseCounting"/>
      <w:lvlText w:val="%1、"/>
      <w:lvlJc w:val="left"/>
      <w:pPr>
        <w:ind w:left="480" w:hanging="480"/>
      </w:pPr>
      <w:rPr>
        <w:rFonts w:cs="Times New Roman"/>
      </w:rPr>
    </w:lvl>
    <w:lvl w:ilvl="1">
      <w:start w:val="1"/>
      <w:numFmt w:val="japaneseCounting"/>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0" w15:restartNumberingAfterBreak="0">
    <w:nsid w:val="741D5EB4"/>
    <w:multiLevelType w:val="multilevel"/>
    <w:tmpl w:val="B4C09ACA"/>
    <w:styleLink w:val="WWNum22"/>
    <w:lvl w:ilvl="0">
      <w:start w:val="1"/>
      <w:numFmt w:val="japaneseCounting"/>
      <w:lvlText w:val="(%1)"/>
      <w:lvlJc w:val="left"/>
      <w:pPr>
        <w:ind w:left="737" w:hanging="624"/>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766C654F"/>
    <w:multiLevelType w:val="multilevel"/>
    <w:tmpl w:val="C072563A"/>
    <w:styleLink w:val="NumberingABC"/>
    <w:lvl w:ilvl="0">
      <w:start w:val="1"/>
      <w:numFmt w:val="upperLetter"/>
      <w:lvlText w:val="%1."/>
      <w:lvlJc w:val="left"/>
      <w:pPr>
        <w:ind w:left="754" w:hanging="397"/>
      </w:pPr>
    </w:lvl>
    <w:lvl w:ilvl="1">
      <w:start w:val="1"/>
      <w:numFmt w:val="upperLetter"/>
      <w:lvlText w:val="%2."/>
      <w:lvlJc w:val="left"/>
      <w:pPr>
        <w:ind w:left="1151" w:hanging="397"/>
      </w:pPr>
    </w:lvl>
    <w:lvl w:ilvl="2">
      <w:start w:val="1"/>
      <w:numFmt w:val="upperLetter"/>
      <w:lvlText w:val="%3."/>
      <w:lvlJc w:val="left"/>
      <w:pPr>
        <w:ind w:left="1548" w:hanging="397"/>
      </w:pPr>
    </w:lvl>
    <w:lvl w:ilvl="3">
      <w:start w:val="1"/>
      <w:numFmt w:val="upperLetter"/>
      <w:lvlText w:val="%4."/>
      <w:lvlJc w:val="left"/>
      <w:pPr>
        <w:ind w:left="1945" w:hanging="397"/>
      </w:pPr>
    </w:lvl>
    <w:lvl w:ilvl="4">
      <w:start w:val="1"/>
      <w:numFmt w:val="upperLetter"/>
      <w:lvlText w:val="%5."/>
      <w:lvlJc w:val="left"/>
      <w:pPr>
        <w:ind w:left="2342" w:hanging="397"/>
      </w:pPr>
    </w:lvl>
    <w:lvl w:ilvl="5">
      <w:start w:val="1"/>
      <w:numFmt w:val="upperLetter"/>
      <w:lvlText w:val="%6."/>
      <w:lvlJc w:val="left"/>
      <w:pPr>
        <w:ind w:left="2739" w:hanging="397"/>
      </w:pPr>
    </w:lvl>
    <w:lvl w:ilvl="6">
      <w:start w:val="1"/>
      <w:numFmt w:val="upperLetter"/>
      <w:lvlText w:val="%7."/>
      <w:lvlJc w:val="left"/>
      <w:pPr>
        <w:ind w:left="3136" w:hanging="397"/>
      </w:pPr>
    </w:lvl>
    <w:lvl w:ilvl="7">
      <w:start w:val="1"/>
      <w:numFmt w:val="upperLetter"/>
      <w:lvlText w:val="%8."/>
      <w:lvlJc w:val="left"/>
      <w:pPr>
        <w:ind w:left="3533" w:hanging="397"/>
      </w:pPr>
    </w:lvl>
    <w:lvl w:ilvl="8">
      <w:start w:val="1"/>
      <w:numFmt w:val="upperLetter"/>
      <w:lvlText w:val="%9."/>
      <w:lvlJc w:val="left"/>
      <w:pPr>
        <w:ind w:left="3930" w:hanging="397"/>
      </w:pPr>
    </w:lvl>
  </w:abstractNum>
  <w:abstractNum w:abstractNumId="42" w15:restartNumberingAfterBreak="0">
    <w:nsid w:val="799F2BAF"/>
    <w:multiLevelType w:val="multilevel"/>
    <w:tmpl w:val="1CC2A06C"/>
    <w:styleLink w:val="WWNum27"/>
    <w:lvl w:ilvl="0">
      <w:start w:val="2"/>
      <w:numFmt w:val="japaneseCounting"/>
      <w:lvlText w:val="%1、"/>
      <w:lvlJc w:val="left"/>
      <w:pPr>
        <w:ind w:left="420" w:hanging="4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3" w15:restartNumberingAfterBreak="0">
    <w:nsid w:val="7C6347A8"/>
    <w:multiLevelType w:val="multilevel"/>
    <w:tmpl w:val="63C4ABAA"/>
    <w:styleLink w:val="WWNum1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4" w15:restartNumberingAfterBreak="0">
    <w:nsid w:val="7D877AB2"/>
    <w:multiLevelType w:val="multilevel"/>
    <w:tmpl w:val="B0C4E002"/>
    <w:styleLink w:val="WWNum28"/>
    <w:lvl w:ilvl="0">
      <w:start w:val="2"/>
      <w:numFmt w:val="japaneseCounting"/>
      <w:lvlText w:val="%1、"/>
      <w:lvlJc w:val="left"/>
      <w:pPr>
        <w:ind w:left="420" w:hanging="4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41"/>
  </w:num>
  <w:num w:numId="2">
    <w:abstractNumId w:val="7"/>
  </w:num>
  <w:num w:numId="3">
    <w:abstractNumId w:val="39"/>
  </w:num>
  <w:num w:numId="4">
    <w:abstractNumId w:val="25"/>
  </w:num>
  <w:num w:numId="5">
    <w:abstractNumId w:val="24"/>
  </w:num>
  <w:num w:numId="6">
    <w:abstractNumId w:val="1"/>
  </w:num>
  <w:num w:numId="7">
    <w:abstractNumId w:val="37"/>
  </w:num>
  <w:num w:numId="8">
    <w:abstractNumId w:val="38"/>
  </w:num>
  <w:num w:numId="9">
    <w:abstractNumId w:val="17"/>
  </w:num>
  <w:num w:numId="10">
    <w:abstractNumId w:val="36"/>
  </w:num>
  <w:num w:numId="11">
    <w:abstractNumId w:val="16"/>
  </w:num>
  <w:num w:numId="12">
    <w:abstractNumId w:val="18"/>
  </w:num>
  <w:num w:numId="13">
    <w:abstractNumId w:val="43"/>
  </w:num>
  <w:num w:numId="14">
    <w:abstractNumId w:val="6"/>
  </w:num>
  <w:num w:numId="15">
    <w:abstractNumId w:val="0"/>
  </w:num>
  <w:num w:numId="16">
    <w:abstractNumId w:val="28"/>
  </w:num>
  <w:num w:numId="17">
    <w:abstractNumId w:val="12"/>
  </w:num>
  <w:num w:numId="18">
    <w:abstractNumId w:val="22"/>
  </w:num>
  <w:num w:numId="19">
    <w:abstractNumId w:val="20"/>
  </w:num>
  <w:num w:numId="20">
    <w:abstractNumId w:val="15"/>
  </w:num>
  <w:num w:numId="21">
    <w:abstractNumId w:val="26"/>
  </w:num>
  <w:num w:numId="22">
    <w:abstractNumId w:val="3"/>
  </w:num>
  <w:num w:numId="23">
    <w:abstractNumId w:val="9"/>
  </w:num>
  <w:num w:numId="24">
    <w:abstractNumId w:val="40"/>
  </w:num>
  <w:num w:numId="25">
    <w:abstractNumId w:val="29"/>
  </w:num>
  <w:num w:numId="26">
    <w:abstractNumId w:val="33"/>
  </w:num>
  <w:num w:numId="27">
    <w:abstractNumId w:val="21"/>
  </w:num>
  <w:num w:numId="28">
    <w:abstractNumId w:val="30"/>
  </w:num>
  <w:num w:numId="29">
    <w:abstractNumId w:val="42"/>
  </w:num>
  <w:num w:numId="30">
    <w:abstractNumId w:val="44"/>
  </w:num>
  <w:num w:numId="31">
    <w:abstractNumId w:val="2"/>
  </w:num>
  <w:num w:numId="32">
    <w:abstractNumId w:val="32"/>
  </w:num>
  <w:num w:numId="33">
    <w:abstractNumId w:val="27"/>
  </w:num>
  <w:num w:numId="34">
    <w:abstractNumId w:val="34"/>
  </w:num>
  <w:num w:numId="35">
    <w:abstractNumId w:val="10"/>
  </w:num>
  <w:num w:numId="36">
    <w:abstractNumId w:val="8"/>
  </w:num>
  <w:num w:numId="37">
    <w:abstractNumId w:val="5"/>
  </w:num>
  <w:num w:numId="38">
    <w:abstractNumId w:val="14"/>
  </w:num>
  <w:num w:numId="39">
    <w:abstractNumId w:val="23"/>
  </w:num>
  <w:num w:numId="40">
    <w:abstractNumId w:val="35"/>
  </w:num>
  <w:num w:numId="41">
    <w:abstractNumId w:val="4"/>
  </w:num>
  <w:num w:numId="42">
    <w:abstractNumId w:val="31"/>
  </w:num>
  <w:num w:numId="43">
    <w:abstractNumId w:val="13"/>
  </w:num>
  <w:num w:numId="44">
    <w:abstractNumId w:val="1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A632B"/>
    <w:rsid w:val="002047D4"/>
    <w:rsid w:val="002B22C1"/>
    <w:rsid w:val="008A63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544EC-5978-4FE0-8EF5-B341188A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rPr>
      <w:rFonts w:ascii="標楷體" w:eastAsia="標楷體" w:hAnsi="標楷體" w:cs="標楷體"/>
      <w:u w:val="single"/>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customStyle="1" w:styleId="Textbodyindent">
    <w:name w:val="Text body indent"/>
    <w:basedOn w:val="Standard"/>
    <w:pPr>
      <w:ind w:left="212" w:hanging="212"/>
    </w:pPr>
  </w:style>
  <w:style w:type="paragraph" w:styleId="2">
    <w:name w:val="Body Text Indent 2"/>
    <w:basedOn w:val="Standard"/>
    <w:pPr>
      <w:ind w:left="480"/>
    </w:pPr>
    <w:rPr>
      <w:rFonts w:ascii="標楷體" w:eastAsia="標楷體" w:hAnsi="標楷體" w:cs="標楷體"/>
    </w:rPr>
  </w:style>
  <w:style w:type="paragraph" w:styleId="3">
    <w:name w:val="Body Text Indent 3"/>
    <w:basedOn w:val="Standard"/>
    <w:pPr>
      <w:ind w:left="451" w:hanging="451"/>
    </w:pPr>
    <w:rPr>
      <w:rFonts w:ascii="標楷體" w:eastAsia="標楷體" w:hAnsi="標楷體" w:cs="標楷體"/>
    </w:rPr>
  </w:style>
  <w:style w:type="paragraph" w:styleId="20">
    <w:name w:val="Body Text 2"/>
    <w:basedOn w:val="Standard"/>
    <w:pPr>
      <w:tabs>
        <w:tab w:val="left" w:pos="1744"/>
      </w:tabs>
      <w:snapToGrid w:val="0"/>
      <w:spacing w:line="320" w:lineRule="exact"/>
      <w:jc w:val="both"/>
    </w:pPr>
    <w:rPr>
      <w:rFonts w:ascii="標楷體" w:eastAsia="標楷體" w:hAnsi="標楷體" w:cs="標楷體"/>
    </w:rPr>
  </w:style>
  <w:style w:type="paragraph" w:styleId="a7">
    <w:name w:val="Plain Text"/>
    <w:basedOn w:val="Standard"/>
    <w:rPr>
      <w:rFonts w:ascii="細明體" w:eastAsia="細明體" w:hAnsi="細明體" w:cs="細明體"/>
      <w:szCs w:val="24"/>
    </w:rPr>
  </w:style>
  <w:style w:type="paragraph" w:styleId="30">
    <w:name w:val="Body Text 3"/>
    <w:basedOn w:val="Standard"/>
    <w:pPr>
      <w:snapToGrid w:val="0"/>
      <w:spacing w:line="300" w:lineRule="exact"/>
      <w:jc w:val="both"/>
    </w:pPr>
    <w:rPr>
      <w:rFonts w:ascii="標楷體" w:eastAsia="標楷體" w:hAnsi="標楷體" w:cs="標楷體"/>
      <w:sz w:val="22"/>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Standard"/>
    <w:rPr>
      <w:rFonts w:ascii="Arial" w:eastAsia="Arial" w:hAnsi="Arial" w:cs="Arial"/>
      <w:sz w:val="18"/>
      <w:szCs w:val="18"/>
    </w:rPr>
  </w:style>
  <w:style w:type="paragraph" w:styleId="a9">
    <w:name w:val="annotation text"/>
    <w:basedOn w:val="Standard"/>
  </w:style>
  <w:style w:type="paragraph" w:styleId="aa">
    <w:name w:val="annotation subject"/>
    <w:basedOn w:val="a9"/>
    <w:rPr>
      <w:b/>
      <w:bCs/>
    </w:rPr>
  </w:style>
  <w:style w:type="paragraph" w:styleId="ab">
    <w:name w:val="List Paragraph"/>
    <w:basedOn w:val="Standard"/>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1">
    <w:name w:val="表格內文1"/>
    <w:pPr>
      <w:widowControl/>
      <w:textAlignment w:val="auto"/>
    </w:pPr>
    <w:rPr>
      <w:sz w:val="20"/>
    </w:rPr>
  </w:style>
  <w:style w:type="character" w:customStyle="1" w:styleId="ac">
    <w:name w:val="頁首 字元"/>
    <w:rPr>
      <w:rFonts w:cs="Times New Roman"/>
      <w:kern w:val="3"/>
    </w:rPr>
  </w:style>
  <w:style w:type="character" w:customStyle="1" w:styleId="ad">
    <w:name w:val="頁尾 字元"/>
    <w:rPr>
      <w:rFonts w:cs="Times New Roman"/>
      <w:kern w:val="3"/>
    </w:rPr>
  </w:style>
  <w:style w:type="character" w:customStyle="1" w:styleId="ae">
    <w:name w:val="本文縮排 字元"/>
    <w:rPr>
      <w:rFonts w:cs="Times New Roman"/>
      <w:kern w:val="3"/>
      <w:sz w:val="24"/>
    </w:rPr>
  </w:style>
  <w:style w:type="character" w:customStyle="1" w:styleId="af">
    <w:name w:val="本文 字元"/>
    <w:rPr>
      <w:rFonts w:cs="Times New Roman"/>
      <w:kern w:val="3"/>
      <w:sz w:val="24"/>
    </w:rPr>
  </w:style>
  <w:style w:type="character" w:customStyle="1" w:styleId="21">
    <w:name w:val="本文縮排 2 字元"/>
    <w:rPr>
      <w:rFonts w:cs="Times New Roman"/>
      <w:kern w:val="3"/>
      <w:sz w:val="24"/>
    </w:rPr>
  </w:style>
  <w:style w:type="character" w:customStyle="1" w:styleId="31">
    <w:name w:val="本文縮排 3 字元"/>
    <w:rPr>
      <w:rFonts w:cs="Times New Roman"/>
      <w:kern w:val="3"/>
      <w:sz w:val="16"/>
      <w:szCs w:val="16"/>
    </w:rPr>
  </w:style>
  <w:style w:type="character" w:customStyle="1" w:styleId="22">
    <w:name w:val="本文 2 字元"/>
    <w:rPr>
      <w:rFonts w:cs="Times New Roman"/>
      <w:kern w:val="3"/>
      <w:sz w:val="24"/>
    </w:rPr>
  </w:style>
  <w:style w:type="character" w:styleId="af0">
    <w:name w:val="page number"/>
    <w:rPr>
      <w:rFonts w:cs="Times New Roman"/>
    </w:rPr>
  </w:style>
  <w:style w:type="character" w:customStyle="1" w:styleId="af1">
    <w:name w:val="純文字 字元"/>
    <w:rPr>
      <w:rFonts w:ascii="細明體" w:eastAsia="細明體" w:hAnsi="細明體" w:cs="Courier New"/>
      <w:kern w:val="3"/>
      <w:sz w:val="24"/>
      <w:szCs w:val="24"/>
    </w:rPr>
  </w:style>
  <w:style w:type="character" w:customStyle="1" w:styleId="32">
    <w:name w:val="本文 3 字元"/>
    <w:rPr>
      <w:rFonts w:cs="Times New Roman"/>
      <w:kern w:val="3"/>
      <w:sz w:val="16"/>
      <w:szCs w:val="16"/>
    </w:rPr>
  </w:style>
  <w:style w:type="character" w:customStyle="1" w:styleId="HTML0">
    <w:name w:val="HTML 預設格式 字元"/>
    <w:rPr>
      <w:rFonts w:ascii="Courier New" w:eastAsia="Courier New" w:hAnsi="Courier New" w:cs="Courier New"/>
      <w:kern w:val="3"/>
    </w:rPr>
  </w:style>
  <w:style w:type="character" w:styleId="af2">
    <w:name w:val="Strong"/>
    <w:rPr>
      <w:rFonts w:cs="Times New Roman"/>
      <w:b/>
      <w:bCs/>
    </w:rPr>
  </w:style>
  <w:style w:type="character" w:customStyle="1" w:styleId="af3">
    <w:name w:val="註解方塊文字 字元"/>
    <w:rPr>
      <w:rFonts w:ascii="Cambria" w:eastAsia="新細明體" w:hAnsi="Cambria" w:cs="Times New Roman"/>
      <w:kern w:val="3"/>
      <w:sz w:val="2"/>
    </w:rPr>
  </w:style>
  <w:style w:type="character" w:styleId="af4">
    <w:name w:val="annotation reference"/>
    <w:rPr>
      <w:rFonts w:cs="Times New Roman"/>
      <w:sz w:val="18"/>
      <w:szCs w:val="18"/>
    </w:rPr>
  </w:style>
  <w:style w:type="character" w:customStyle="1" w:styleId="af5">
    <w:name w:val="註解文字 字元"/>
    <w:rPr>
      <w:rFonts w:cs="Times New Roman"/>
      <w:kern w:val="3"/>
      <w:sz w:val="24"/>
    </w:rPr>
  </w:style>
  <w:style w:type="character" w:customStyle="1" w:styleId="af6">
    <w:name w:val="註解主旨 字元"/>
    <w:rPr>
      <w:rFonts w:cs="Times New Roman"/>
      <w:b/>
      <w:bCs/>
      <w:kern w:val="3"/>
      <w:sz w:val="24"/>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u w:val="none"/>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eastAsia="Times New Roman"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eastAsia="Times New Roman" w:cs="Times New Roman"/>
    </w:rPr>
  </w:style>
  <w:style w:type="character" w:customStyle="1" w:styleId="ListLabel207">
    <w:name w:val="ListLabel 207"/>
    <w:rPr>
      <w:rFonts w:cs="Times New Roman"/>
    </w:rPr>
  </w:style>
  <w:style w:type="character" w:customStyle="1" w:styleId="ListLabel208">
    <w:name w:val="ListLabel 208"/>
    <w:rPr>
      <w:rFonts w:cs="Times New Roman"/>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eastAsia="Times New Roman"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cs="Times New Roman"/>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u w:val="none"/>
    </w:rPr>
  </w:style>
  <w:style w:type="character" w:customStyle="1" w:styleId="NumberingSymbols">
    <w:name w:val="Numbering Symbols"/>
  </w:style>
  <w:style w:type="numbering" w:customStyle="1" w:styleId="NumberingABC">
    <w:name w:val="Numbering ABC"/>
    <w:basedOn w:val="a2"/>
    <w:pPr>
      <w:numPr>
        <w:numId w:val="1"/>
      </w:numPr>
    </w:pPr>
  </w:style>
  <w:style w:type="numbering" w:customStyle="1" w:styleId="NoList">
    <w:name w:val="No List"/>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WWNum31">
    <w:name w:val="WWNum31"/>
    <w:basedOn w:val="a2"/>
    <w:pPr>
      <w:numPr>
        <w:numId w:val="33"/>
      </w:numPr>
    </w:pPr>
  </w:style>
  <w:style w:type="numbering" w:customStyle="1" w:styleId="WWNum32">
    <w:name w:val="WWNum32"/>
    <w:basedOn w:val="a2"/>
    <w:pPr>
      <w:numPr>
        <w:numId w:val="34"/>
      </w:numPr>
    </w:pPr>
  </w:style>
  <w:style w:type="numbering" w:customStyle="1" w:styleId="WWNum33">
    <w:name w:val="WWNum33"/>
    <w:basedOn w:val="a2"/>
    <w:pPr>
      <w:numPr>
        <w:numId w:val="35"/>
      </w:numPr>
    </w:pPr>
  </w:style>
  <w:style w:type="numbering" w:customStyle="1" w:styleId="WWNum34">
    <w:name w:val="WWNum34"/>
    <w:basedOn w:val="a2"/>
    <w:pPr>
      <w:numPr>
        <w:numId w:val="36"/>
      </w:numPr>
    </w:pPr>
  </w:style>
  <w:style w:type="numbering" w:customStyle="1" w:styleId="WWNum35">
    <w:name w:val="WWNum35"/>
    <w:basedOn w:val="a2"/>
    <w:pPr>
      <w:numPr>
        <w:numId w:val="37"/>
      </w:numPr>
    </w:pPr>
  </w:style>
  <w:style w:type="numbering" w:customStyle="1" w:styleId="WWNum36">
    <w:name w:val="WWNum36"/>
    <w:basedOn w:val="a2"/>
    <w:pPr>
      <w:numPr>
        <w:numId w:val="38"/>
      </w:numPr>
    </w:pPr>
  </w:style>
  <w:style w:type="numbering" w:customStyle="1" w:styleId="WWNum37">
    <w:name w:val="WWNum37"/>
    <w:basedOn w:val="a2"/>
    <w:pPr>
      <w:numPr>
        <w:numId w:val="39"/>
      </w:numPr>
    </w:pPr>
  </w:style>
  <w:style w:type="numbering" w:customStyle="1" w:styleId="WWNum38">
    <w:name w:val="WWNum38"/>
    <w:basedOn w:val="a2"/>
    <w:pPr>
      <w:numPr>
        <w:numId w:val="40"/>
      </w:numPr>
    </w:pPr>
  </w:style>
  <w:style w:type="numbering" w:customStyle="1" w:styleId="WWNum39">
    <w:name w:val="WWNum39"/>
    <w:basedOn w:val="a2"/>
    <w:pPr>
      <w:numPr>
        <w:numId w:val="41"/>
      </w:numPr>
    </w:pPr>
  </w:style>
  <w:style w:type="numbering" w:customStyle="1" w:styleId="WWNum40">
    <w:name w:val="WWNum40"/>
    <w:basedOn w:val="a2"/>
    <w:pPr>
      <w:numPr>
        <w:numId w:val="42"/>
      </w:numPr>
    </w:pPr>
  </w:style>
  <w:style w:type="numbering" w:customStyle="1" w:styleId="WWNum41">
    <w:name w:val="WWNum41"/>
    <w:basedOn w:val="a2"/>
    <w:pPr>
      <w:numPr>
        <w:numId w:val="43"/>
      </w:numPr>
    </w:pPr>
  </w:style>
  <w:style w:type="numbering" w:customStyle="1" w:styleId="WWNum42">
    <w:name w:val="WWNum42"/>
    <w:basedOn w:val="a2"/>
    <w:pPr>
      <w:numPr>
        <w:numId w:val="44"/>
      </w:numPr>
    </w:pPr>
  </w:style>
  <w:style w:type="numbering" w:customStyle="1" w:styleId="WWNum43">
    <w:name w:val="WWNum43"/>
    <w:basedOn w:val="a2"/>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MOE</dc:creator>
  <cp:lastModifiedBy>Windows 使用者</cp:lastModifiedBy>
  <cp:revision>1</cp:revision>
  <cp:lastPrinted>2024-03-07T09:46:00Z</cp:lastPrinted>
  <dcterms:created xsi:type="dcterms:W3CDTF">2024-03-05T07:47:00Z</dcterms:created>
  <dcterms:modified xsi:type="dcterms:W3CDTF">2025-06-06T07:41:00Z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MOE</vt:lpwstr>
  </property>
  <property fmtid="{D5CDD505-2E9C-101B-9397-08002B2CF9AE}" pid="4" name="DocSecurity">
    <vt:r8>0</vt:r8>
  </property>
  <property fmtid="{D5CDD505-2E9C-101B-9397-08002B2CF9AE}" pid="5" name="FormatCheck">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